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CB" w:rsidRDefault="002352EA" w:rsidP="00E62713">
      <w:pPr>
        <w:spacing w:before="24" w:line="276" w:lineRule="auto"/>
        <w:ind w:left="1134"/>
        <w:jc w:val="right"/>
        <w:rPr>
          <w:color w:val="000000" w:themeColor="text1"/>
          <w:sz w:val="72"/>
          <w:szCs w:val="72"/>
        </w:rPr>
      </w:pPr>
      <w:r>
        <w:rPr>
          <w:color w:val="000000" w:themeColor="text1"/>
          <w:sz w:val="72"/>
          <w:szCs w:val="72"/>
        </w:rPr>
        <w:t xml:space="preserve">Consultation </w:t>
      </w:r>
      <w:r w:rsidRPr="003535F9">
        <w:rPr>
          <w:color w:val="000000" w:themeColor="text1"/>
          <w:sz w:val="72"/>
          <w:szCs w:val="72"/>
        </w:rPr>
        <w:t>on</w:t>
      </w:r>
      <w:r w:rsidR="003535F9" w:rsidRPr="00AB4C96">
        <w:rPr>
          <w:sz w:val="72"/>
          <w:szCs w:val="72"/>
        </w:rPr>
        <w:t xml:space="preserve"> </w:t>
      </w:r>
      <w:r w:rsidR="00EE66C1" w:rsidRPr="00AB4C96">
        <w:rPr>
          <w:color w:val="000000" w:themeColor="text1"/>
          <w:sz w:val="72"/>
          <w:szCs w:val="72"/>
        </w:rPr>
        <w:t>NIE</w:t>
      </w:r>
      <w:r w:rsidR="00EE66C1" w:rsidRPr="00EE66C1">
        <w:rPr>
          <w:color w:val="000000" w:themeColor="text1"/>
          <w:sz w:val="72"/>
          <w:szCs w:val="72"/>
        </w:rPr>
        <w:t xml:space="preserve"> Networks</w:t>
      </w:r>
      <w:r>
        <w:rPr>
          <w:color w:val="000000" w:themeColor="text1"/>
          <w:sz w:val="72"/>
          <w:szCs w:val="72"/>
        </w:rPr>
        <w:t xml:space="preserve"> </w:t>
      </w:r>
      <w:r w:rsidR="00EE66C1">
        <w:rPr>
          <w:color w:val="000000" w:themeColor="text1"/>
          <w:sz w:val="72"/>
          <w:szCs w:val="72"/>
        </w:rPr>
        <w:t>l</w:t>
      </w:r>
      <w:r w:rsidR="003764CB">
        <w:rPr>
          <w:color w:val="000000" w:themeColor="text1"/>
          <w:sz w:val="72"/>
          <w:szCs w:val="72"/>
        </w:rPr>
        <w:t xml:space="preserve">icence </w:t>
      </w:r>
      <w:r w:rsidR="00EE66C1">
        <w:rPr>
          <w:color w:val="000000" w:themeColor="text1"/>
          <w:sz w:val="72"/>
          <w:szCs w:val="72"/>
        </w:rPr>
        <w:t>m</w:t>
      </w:r>
      <w:r w:rsidR="003764CB">
        <w:rPr>
          <w:color w:val="000000" w:themeColor="text1"/>
          <w:sz w:val="72"/>
          <w:szCs w:val="72"/>
        </w:rPr>
        <w:t>odification</w:t>
      </w:r>
      <w:r w:rsidR="00EE66C1">
        <w:rPr>
          <w:color w:val="000000" w:themeColor="text1"/>
          <w:sz w:val="72"/>
          <w:szCs w:val="72"/>
        </w:rPr>
        <w:t>s</w:t>
      </w:r>
      <w:r w:rsidR="003764CB">
        <w:rPr>
          <w:color w:val="000000" w:themeColor="text1"/>
          <w:sz w:val="72"/>
          <w:szCs w:val="72"/>
        </w:rPr>
        <w:t xml:space="preserve"> for new IT </w:t>
      </w:r>
      <w:r w:rsidR="00EE66C1">
        <w:rPr>
          <w:color w:val="000000" w:themeColor="text1"/>
          <w:sz w:val="72"/>
          <w:szCs w:val="72"/>
        </w:rPr>
        <w:t>r</w:t>
      </w:r>
      <w:r w:rsidR="003764CB">
        <w:rPr>
          <w:color w:val="000000" w:themeColor="text1"/>
          <w:sz w:val="72"/>
          <w:szCs w:val="72"/>
        </w:rPr>
        <w:t>equirements</w:t>
      </w:r>
      <w:r w:rsidR="00EE66C1">
        <w:rPr>
          <w:color w:val="000000" w:themeColor="text1"/>
          <w:sz w:val="72"/>
          <w:szCs w:val="72"/>
        </w:rPr>
        <w:t>.</w:t>
      </w:r>
      <w:r w:rsidR="003764CB">
        <w:rPr>
          <w:color w:val="000000" w:themeColor="text1"/>
          <w:sz w:val="72"/>
          <w:szCs w:val="72"/>
        </w:rPr>
        <w:t xml:space="preserve"> </w:t>
      </w:r>
    </w:p>
    <w:p w:rsidR="00E62713" w:rsidRDefault="003F7706" w:rsidP="00E62713">
      <w:pPr>
        <w:spacing w:before="24" w:line="276" w:lineRule="auto"/>
        <w:ind w:left="1134"/>
        <w:jc w:val="right"/>
        <w:rPr>
          <w:color w:val="000000" w:themeColor="text1"/>
          <w:sz w:val="72"/>
          <w:szCs w:val="72"/>
        </w:rPr>
      </w:pPr>
      <w:r>
        <w:rPr>
          <w:color w:val="000000" w:themeColor="text1"/>
          <w:sz w:val="72"/>
          <w:szCs w:val="72"/>
        </w:rPr>
        <w:t>March</w:t>
      </w:r>
      <w:r w:rsidR="00051FCE">
        <w:rPr>
          <w:color w:val="000000" w:themeColor="text1"/>
          <w:sz w:val="72"/>
          <w:szCs w:val="72"/>
        </w:rPr>
        <w:t xml:space="preserve"> 2021</w:t>
      </w:r>
    </w:p>
    <w:p w:rsidR="00E62713" w:rsidRDefault="00E62713" w:rsidP="00E62713">
      <w:pPr>
        <w:spacing w:before="24" w:line="276" w:lineRule="auto"/>
        <w:ind w:left="1134"/>
        <w:jc w:val="right"/>
        <w:rPr>
          <w:color w:val="000000" w:themeColor="text1"/>
          <w:sz w:val="72"/>
          <w:szCs w:val="72"/>
        </w:rPr>
      </w:pPr>
    </w:p>
    <w:p w:rsidR="00C30B73" w:rsidRPr="005D6F51" w:rsidRDefault="007E2FEE" w:rsidP="00E62713">
      <w:pPr>
        <w:spacing w:before="24" w:line="276" w:lineRule="auto"/>
        <w:ind w:left="2835"/>
        <w:jc w:val="right"/>
        <w:rPr>
          <w:strike/>
          <w:color w:val="000000" w:themeColor="text1"/>
          <w:sz w:val="40"/>
          <w:szCs w:val="40"/>
        </w:rPr>
      </w:pPr>
      <w:r w:rsidRPr="005D6F51">
        <w:rPr>
          <w:strike/>
          <w:noProof/>
          <w:color w:val="000000" w:themeColor="text1"/>
          <w:sz w:val="40"/>
          <w:szCs w:val="40"/>
          <w:lang w:bidi="ar-SA"/>
        </w:rPr>
        <w:drawing>
          <wp:anchor distT="0" distB="0" distL="114300" distR="114300" simplePos="0" relativeHeight="251652607" behindDoc="1" locked="0" layoutInCell="1" allowOverlap="1" wp14:anchorId="2FA5750F" wp14:editId="798883BB">
            <wp:simplePos x="0" y="0"/>
            <wp:positionH relativeFrom="column">
              <wp:posOffset>-469900</wp:posOffset>
            </wp:positionH>
            <wp:positionV relativeFrom="page">
              <wp:posOffset>9753105</wp:posOffset>
            </wp:positionV>
            <wp:extent cx="7548664" cy="926394"/>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ublications-Footer1.jpg"/>
                    <pic:cNvPicPr/>
                  </pic:nvPicPr>
                  <pic:blipFill>
                    <a:blip r:embed="rId8">
                      <a:extLst>
                        <a:ext uri="{28A0092B-C50C-407E-A947-70E740481C1C}">
                          <a14:useLocalDpi xmlns:a14="http://schemas.microsoft.com/office/drawing/2010/main" val="0"/>
                        </a:ext>
                      </a:extLst>
                    </a:blip>
                    <a:stretch>
                      <a:fillRect/>
                    </a:stretch>
                  </pic:blipFill>
                  <pic:spPr>
                    <a:xfrm>
                      <a:off x="0" y="0"/>
                      <a:ext cx="7605355" cy="933351"/>
                    </a:xfrm>
                    <a:prstGeom prst="rect">
                      <a:avLst/>
                    </a:prstGeom>
                  </pic:spPr>
                </pic:pic>
              </a:graphicData>
            </a:graphic>
            <wp14:sizeRelH relativeFrom="page">
              <wp14:pctWidth>0</wp14:pctWidth>
            </wp14:sizeRelH>
            <wp14:sizeRelV relativeFrom="page">
              <wp14:pctHeight>0</wp14:pctHeight>
            </wp14:sizeRelV>
          </wp:anchor>
        </w:drawing>
      </w:r>
    </w:p>
    <w:p w:rsidR="00C30B73" w:rsidRPr="005D6F51" w:rsidRDefault="00C30B73" w:rsidP="001223C7">
      <w:pPr>
        <w:spacing w:line="276" w:lineRule="auto"/>
        <w:rPr>
          <w:strike/>
          <w:sz w:val="40"/>
        </w:rPr>
        <w:sectPr w:rsidR="00C30B73" w:rsidRPr="005D6F51" w:rsidSect="00E62713">
          <w:headerReference w:type="even" r:id="rId9"/>
          <w:headerReference w:type="default" r:id="rId10"/>
          <w:footerReference w:type="even" r:id="rId11"/>
          <w:footerReference w:type="default" r:id="rId12"/>
          <w:headerReference w:type="first" r:id="rId13"/>
          <w:footerReference w:type="first" r:id="rId14"/>
          <w:type w:val="continuous"/>
          <w:pgSz w:w="11910" w:h="16840"/>
          <w:pgMar w:top="6946" w:right="1440" w:bottom="1440" w:left="743" w:header="272" w:footer="720" w:gutter="0"/>
          <w:cols w:space="720"/>
        </w:sectPr>
      </w:pPr>
    </w:p>
    <w:p w:rsidR="00C30B73" w:rsidRPr="000F30EB" w:rsidRDefault="00EB7E20" w:rsidP="00E475AD">
      <w:pPr>
        <w:pStyle w:val="URAbouttitles"/>
      </w:pPr>
      <w:bookmarkStart w:id="0" w:name="_Toc503968665"/>
      <w:r w:rsidRPr="000F30EB">
        <w:lastRenderedPageBreak/>
        <w:t>About the Utility Regulator</w:t>
      </w:r>
      <w:bookmarkEnd w:id="0"/>
    </w:p>
    <w:p w:rsidR="00C30B73" w:rsidRPr="00E6214B" w:rsidRDefault="00EB7E20" w:rsidP="001223C7">
      <w:pPr>
        <w:pStyle w:val="BodyText"/>
        <w:spacing w:before="24" w:after="280" w:line="276" w:lineRule="auto"/>
        <w:ind w:left="110" w:right="304"/>
        <w:rPr>
          <w:color w:val="231F20"/>
        </w:rPr>
      </w:pPr>
      <w:r>
        <w:rPr>
          <w:color w:val="231F20"/>
        </w:rPr>
        <w:t xml:space="preserve">The </w:t>
      </w:r>
      <w:r w:rsidR="00D32060" w:rsidRPr="00D32060">
        <w:rPr>
          <w:color w:val="231F20"/>
        </w:rPr>
        <w:t>Utility Regulator is the independent non-ministerial government department responsible for regulating Northern Ireland’s electricity, gas, water and sewerage industries, to promote the short and long-term interests of consumers</w:t>
      </w:r>
      <w:r>
        <w:rPr>
          <w:color w:val="231F20"/>
        </w:rPr>
        <w:t>.</w:t>
      </w:r>
    </w:p>
    <w:p w:rsidR="00C30B73" w:rsidRPr="00E6214B" w:rsidRDefault="00EB7E20" w:rsidP="001223C7">
      <w:pPr>
        <w:pStyle w:val="BodyText"/>
        <w:spacing w:before="24" w:after="280" w:line="276" w:lineRule="auto"/>
        <w:ind w:left="110" w:right="304"/>
        <w:rPr>
          <w:color w:val="231F20"/>
        </w:rPr>
      </w:pPr>
      <w:r>
        <w:rPr>
          <w:color w:val="231F20"/>
        </w:rPr>
        <w:t xml:space="preserve">We </w:t>
      </w:r>
      <w:r w:rsidR="00D32060" w:rsidRPr="00D32060">
        <w:rPr>
          <w:color w:val="231F20"/>
        </w:rPr>
        <w:t>are not a policy-making department of government, but we make sure that the energy and water utility industries in Northern Ireland are regulated and developed within ministerial policy as set out in our statutory duties</w:t>
      </w:r>
      <w:r>
        <w:rPr>
          <w:color w:val="231F20"/>
        </w:rPr>
        <w:t>.</w:t>
      </w:r>
    </w:p>
    <w:p w:rsidR="00C30B73" w:rsidRPr="00E6214B" w:rsidRDefault="00EB7E20" w:rsidP="001223C7">
      <w:pPr>
        <w:pStyle w:val="BodyText"/>
        <w:spacing w:before="24" w:after="280" w:line="276" w:lineRule="auto"/>
        <w:ind w:left="110" w:right="304"/>
        <w:rPr>
          <w:color w:val="231F20"/>
        </w:rPr>
      </w:pPr>
      <w:r>
        <w:rPr>
          <w:color w:val="231F20"/>
        </w:rPr>
        <w:t xml:space="preserve">We </w:t>
      </w:r>
      <w:r w:rsidR="0013468B" w:rsidRPr="0013468B">
        <w:rPr>
          <w:color w:val="231F20"/>
        </w:rPr>
        <w:t>are governed by a Board of Directors and are accountable to the Northern Ireland Assembly through financial and annual reporting obligations</w:t>
      </w:r>
      <w:r>
        <w:rPr>
          <w:color w:val="231F20"/>
        </w:rPr>
        <w:t>.</w:t>
      </w:r>
    </w:p>
    <w:p w:rsidR="00C30B73" w:rsidRPr="00E6214B" w:rsidRDefault="00EB7E20" w:rsidP="001223C7">
      <w:pPr>
        <w:pStyle w:val="BodyText"/>
        <w:spacing w:before="24" w:after="280" w:line="276" w:lineRule="auto"/>
        <w:ind w:left="110" w:right="304"/>
        <w:rPr>
          <w:color w:val="231F20"/>
        </w:rPr>
      </w:pPr>
      <w:r>
        <w:rPr>
          <w:color w:val="231F20"/>
        </w:rPr>
        <w:t xml:space="preserve">We </w:t>
      </w:r>
      <w:r w:rsidR="0013468B" w:rsidRPr="0013468B">
        <w:rPr>
          <w:color w:val="231F20"/>
        </w:rPr>
        <w:t>are based at Queens House in the centre of Belfast. The Chief Executive leads a management team of directors representing each of the key functional areas in the organisation</w:t>
      </w:r>
      <w:r w:rsidR="00815CCA">
        <w:rPr>
          <w:color w:val="231F20"/>
        </w:rPr>
        <w:t>: Corporate Affairs,</w:t>
      </w:r>
      <w:r w:rsidR="0013468B" w:rsidRPr="0013468B">
        <w:rPr>
          <w:color w:val="231F20"/>
        </w:rPr>
        <w:t xml:space="preserve"> </w:t>
      </w:r>
      <w:r w:rsidR="00815CCA">
        <w:rPr>
          <w:color w:val="231F20"/>
        </w:rPr>
        <w:t>Markets and Networks</w:t>
      </w:r>
      <w:r w:rsidR="0013468B" w:rsidRPr="0013468B">
        <w:rPr>
          <w:color w:val="231F20"/>
        </w:rPr>
        <w:t>. The staff team includes economists, engineers, accountants, utility specialists, legal advisors and administration professionals</w:t>
      </w:r>
      <w:r>
        <w:rPr>
          <w:color w:val="231F20"/>
        </w:rPr>
        <w:t>.</w:t>
      </w:r>
    </w:p>
    <w:p w:rsidR="00C30B73" w:rsidRDefault="00D808AB" w:rsidP="001223C7">
      <w:pPr>
        <w:spacing w:line="276" w:lineRule="auto"/>
        <w:sectPr w:rsidR="00C30B73" w:rsidSect="003902F3">
          <w:pgSz w:w="11910" w:h="16840"/>
          <w:pgMar w:top="1701" w:right="743" w:bottom="1134" w:left="743" w:header="272" w:footer="0" w:gutter="0"/>
          <w:cols w:space="720"/>
        </w:sectPr>
      </w:pPr>
      <w:r>
        <w:rPr>
          <w:noProof/>
          <w:lang w:bidi="ar-SA"/>
        </w:rPr>
        <w:drawing>
          <wp:anchor distT="0" distB="0" distL="114300" distR="114300" simplePos="0" relativeHeight="251663872" behindDoc="0" locked="0" layoutInCell="1" allowOverlap="1" wp14:anchorId="0532A17C" wp14:editId="0269D1F7">
            <wp:simplePos x="0" y="0"/>
            <wp:positionH relativeFrom="column">
              <wp:posOffset>-104775</wp:posOffset>
            </wp:positionH>
            <wp:positionV relativeFrom="page">
              <wp:posOffset>4638304</wp:posOffset>
            </wp:positionV>
            <wp:extent cx="6838544" cy="4857137"/>
            <wp:effectExtent l="0" t="0" r="635"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ublications-Our Mission-Vision-Values.jpg"/>
                    <pic:cNvPicPr/>
                  </pic:nvPicPr>
                  <pic:blipFill>
                    <a:blip r:embed="rId15">
                      <a:extLst>
                        <a:ext uri="{28A0092B-C50C-407E-A947-70E740481C1C}">
                          <a14:useLocalDpi xmlns:a14="http://schemas.microsoft.com/office/drawing/2010/main" val="0"/>
                        </a:ext>
                      </a:extLst>
                    </a:blip>
                    <a:stretch>
                      <a:fillRect/>
                    </a:stretch>
                  </pic:blipFill>
                  <pic:spPr>
                    <a:xfrm>
                      <a:off x="0" y="0"/>
                      <a:ext cx="6838544" cy="4857137"/>
                    </a:xfrm>
                    <a:prstGeom prst="rect">
                      <a:avLst/>
                    </a:prstGeom>
                  </pic:spPr>
                </pic:pic>
              </a:graphicData>
            </a:graphic>
            <wp14:sizeRelH relativeFrom="page">
              <wp14:pctWidth>0</wp14:pctWidth>
            </wp14:sizeRelH>
            <wp14:sizeRelV relativeFrom="page">
              <wp14:pctHeight>0</wp14:pctHeight>
            </wp14:sizeRelV>
          </wp:anchor>
        </w:drawing>
      </w:r>
      <w:r w:rsidR="00D20ED8">
        <w:rPr>
          <w:noProof/>
          <w:lang w:bidi="ar-SA"/>
        </w:rPr>
        <w:drawing>
          <wp:anchor distT="0" distB="0" distL="114300" distR="114300" simplePos="0" relativeHeight="251662848" behindDoc="0" locked="0" layoutInCell="1" allowOverlap="1" wp14:anchorId="30A8A1E2" wp14:editId="50573AF0">
            <wp:simplePos x="0" y="0"/>
            <wp:positionH relativeFrom="column">
              <wp:posOffset>-457200</wp:posOffset>
            </wp:positionH>
            <wp:positionV relativeFrom="page">
              <wp:posOffset>9921727</wp:posOffset>
            </wp:positionV>
            <wp:extent cx="2298700" cy="7620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ublications-Footer2.jpg"/>
                    <pic:cNvPicPr/>
                  </pic:nvPicPr>
                  <pic:blipFill>
                    <a:blip r:embed="rId16">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14:sizeRelH relativeFrom="page">
              <wp14:pctWidth>0</wp14:pctWidth>
            </wp14:sizeRelH>
            <wp14:sizeRelV relativeFrom="page">
              <wp14:pctHeight>0</wp14:pctHeight>
            </wp14:sizeRelV>
          </wp:anchor>
        </w:drawing>
      </w:r>
    </w:p>
    <w:p w:rsidR="00C30B73" w:rsidRPr="000F30EB" w:rsidRDefault="00EB7E20" w:rsidP="00E475AD">
      <w:pPr>
        <w:pStyle w:val="URAbstracttitle"/>
      </w:pPr>
      <w:bookmarkStart w:id="1" w:name="_Toc503968667"/>
      <w:r w:rsidRPr="000F30EB">
        <w:lastRenderedPageBreak/>
        <w:t>Abstract</w:t>
      </w:r>
      <w:bookmarkEnd w:id="1"/>
    </w:p>
    <w:p w:rsidR="00B11CCE" w:rsidRDefault="002F76CF" w:rsidP="00C02E7A">
      <w:pPr>
        <w:pStyle w:val="BodyText"/>
        <w:spacing w:before="2" w:line="276" w:lineRule="auto"/>
        <w:rPr>
          <w:b/>
          <w:color w:val="000000" w:themeColor="text1"/>
          <w:sz w:val="40"/>
        </w:rPr>
      </w:pPr>
      <w:r>
        <w:rPr>
          <w:b/>
          <w:noProof/>
          <w:sz w:val="15"/>
          <w:lang w:bidi="ar-SA"/>
        </w:rPr>
        <mc:AlternateContent>
          <mc:Choice Requires="wps">
            <w:drawing>
              <wp:inline distT="0" distB="0" distL="0" distR="0" wp14:anchorId="3D7CDFE1" wp14:editId="6303D2F6">
                <wp:extent cx="6497428" cy="1473200"/>
                <wp:effectExtent l="0" t="0" r="0" b="0"/>
                <wp:docPr id="4" name="Text Box 4"/>
                <wp:cNvGraphicFramePr/>
                <a:graphic xmlns:a="http://schemas.openxmlformats.org/drawingml/2006/main">
                  <a:graphicData uri="http://schemas.microsoft.com/office/word/2010/wordprocessingShape">
                    <wps:wsp>
                      <wps:cNvSpPr txBox="1"/>
                      <wps:spPr>
                        <a:xfrm>
                          <a:off x="0" y="0"/>
                          <a:ext cx="6497428" cy="1473200"/>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C0" w:rsidRDefault="00ED11C0" w:rsidP="00883B4B">
                            <w:pPr>
                              <w:ind w:right="22"/>
                              <w:rPr>
                                <w:sz w:val="24"/>
                                <w:szCs w:val="24"/>
                              </w:rPr>
                            </w:pPr>
                            <w:r>
                              <w:rPr>
                                <w:sz w:val="24"/>
                                <w:szCs w:val="24"/>
                              </w:rPr>
                              <w:t>This consultation sets out our proposal to introduce a licence modification in NIE Networks Transmission and Distribution licences to all</w:t>
                            </w:r>
                            <w:r w:rsidR="00104768">
                              <w:rPr>
                                <w:sz w:val="24"/>
                                <w:szCs w:val="24"/>
                              </w:rPr>
                              <w:t>ow for a mechanism to permit</w:t>
                            </w:r>
                            <w:r>
                              <w:rPr>
                                <w:sz w:val="24"/>
                                <w:szCs w:val="24"/>
                              </w:rPr>
                              <w:t xml:space="preserve"> the recovery of efficiently incurred costs associated with IT upgrades required to facilitate the future DfE Energy Strategy. </w:t>
                            </w:r>
                            <w:bookmarkStart w:id="2" w:name="_GoBack"/>
                            <w:bookmarkEnd w:id="2"/>
                          </w:p>
                          <w:p w:rsidR="00ED11C0" w:rsidRDefault="00ED11C0" w:rsidP="00883B4B">
                            <w:pPr>
                              <w:ind w:right="22"/>
                              <w:rPr>
                                <w:sz w:val="24"/>
                                <w:szCs w:val="24"/>
                              </w:rPr>
                            </w:pPr>
                          </w:p>
                          <w:p w:rsidR="00ED11C0" w:rsidRPr="002F76CF" w:rsidRDefault="00ED11C0" w:rsidP="00883B4B">
                            <w:pPr>
                              <w:ind w:right="22"/>
                            </w:pPr>
                            <w:r>
                              <w:rPr>
                                <w:sz w:val="24"/>
                                <w:szCs w:val="24"/>
                              </w:rPr>
                              <w:t>The proposed modification will allow NIE Networks to recover costs via the current price control RP6 which runs until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7CDFE1" id="_x0000_t202" coordsize="21600,21600" o:spt="202" path="m,l,21600r21600,l21600,xe">
                <v:stroke joinstyle="miter"/>
                <v:path gradientshapeok="t" o:connecttype="rect"/>
              </v:shapetype>
              <v:shape id="Text Box 4" o:spid="_x0000_s1026" type="#_x0000_t202" style="width:511.6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" fillcolor="#b0ee00" stroked="f" strokeweight=".5pt">
                <v:textbox>
                  <w:txbxContent>
                    <w:p w:rsidR="00ED11C0" w:rsidRDefault="00ED11C0" w:rsidP="00883B4B">
                      <w:pPr>
                        <w:ind w:right="22"/>
                        <w:rPr>
                          <w:sz w:val="24"/>
                          <w:szCs w:val="24"/>
                        </w:rPr>
                      </w:pPr>
                      <w:r>
                        <w:rPr>
                          <w:sz w:val="24"/>
                          <w:szCs w:val="24"/>
                        </w:rPr>
                        <w:t>This consultation sets out our proposal to introduce a licence modification in NIE Networks Transmission and Distribution licences to all</w:t>
                      </w:r>
                      <w:r w:rsidR="00104768">
                        <w:rPr>
                          <w:sz w:val="24"/>
                          <w:szCs w:val="24"/>
                        </w:rPr>
                        <w:t>ow for a mechanism to permit</w:t>
                      </w:r>
                      <w:r>
                        <w:rPr>
                          <w:sz w:val="24"/>
                          <w:szCs w:val="24"/>
                        </w:rPr>
                        <w:t xml:space="preserve"> the recovery of efficiently incurred costs associated with IT upgrades required to facilitate the future DfE Energy Strategy. </w:t>
                      </w:r>
                      <w:bookmarkStart w:id="3" w:name="_GoBack"/>
                      <w:bookmarkEnd w:id="3"/>
                    </w:p>
                    <w:p w:rsidR="00ED11C0" w:rsidRDefault="00ED11C0" w:rsidP="00883B4B">
                      <w:pPr>
                        <w:ind w:right="22"/>
                        <w:rPr>
                          <w:sz w:val="24"/>
                          <w:szCs w:val="24"/>
                        </w:rPr>
                      </w:pPr>
                    </w:p>
                    <w:p w:rsidR="00ED11C0" w:rsidRPr="002F76CF" w:rsidRDefault="00ED11C0" w:rsidP="00883B4B">
                      <w:pPr>
                        <w:ind w:right="22"/>
                      </w:pPr>
                      <w:r>
                        <w:rPr>
                          <w:sz w:val="24"/>
                          <w:szCs w:val="24"/>
                        </w:rPr>
                        <w:t>The proposed modification will allow NIE Networks to recover costs via the current price control RP6 which runs until March 2024.</w:t>
                      </w:r>
                    </w:p>
                  </w:txbxContent>
                </v:textbox>
                <w10:anchorlock/>
              </v:shape>
            </w:pict>
          </mc:Fallback>
        </mc:AlternateContent>
      </w:r>
    </w:p>
    <w:p w:rsidR="00C02E7A" w:rsidRDefault="00C02E7A" w:rsidP="00C02E7A">
      <w:pPr>
        <w:pStyle w:val="BodyText"/>
        <w:spacing w:before="2" w:line="276" w:lineRule="auto"/>
        <w:rPr>
          <w:b/>
          <w:color w:val="000000" w:themeColor="text1"/>
          <w:sz w:val="40"/>
        </w:rPr>
      </w:pPr>
    </w:p>
    <w:p w:rsidR="00C30B73" w:rsidRPr="000F30EB" w:rsidRDefault="00EB7E20" w:rsidP="00E475AD">
      <w:pPr>
        <w:pStyle w:val="URAbstracttitle"/>
      </w:pPr>
      <w:r w:rsidRPr="000F30EB">
        <w:t>Audience</w:t>
      </w:r>
    </w:p>
    <w:p w:rsidR="00C30B73" w:rsidRDefault="00B11CCE" w:rsidP="001223C7">
      <w:pPr>
        <w:pStyle w:val="BodyText"/>
        <w:spacing w:before="7" w:line="276" w:lineRule="auto"/>
        <w:rPr>
          <w:b/>
          <w:sz w:val="40"/>
        </w:rPr>
      </w:pPr>
      <w:r>
        <w:rPr>
          <w:b/>
          <w:noProof/>
          <w:sz w:val="15"/>
          <w:lang w:bidi="ar-SA"/>
        </w:rPr>
        <mc:AlternateContent>
          <mc:Choice Requires="wps">
            <w:drawing>
              <wp:inline distT="0" distB="0" distL="0" distR="0" wp14:anchorId="3E2A98F6" wp14:editId="033AFA4D">
                <wp:extent cx="6497428" cy="749300"/>
                <wp:effectExtent l="0" t="0" r="0" b="0"/>
                <wp:docPr id="24" name="Text Box 24"/>
                <wp:cNvGraphicFramePr/>
                <a:graphic xmlns:a="http://schemas.openxmlformats.org/drawingml/2006/main">
                  <a:graphicData uri="http://schemas.microsoft.com/office/word/2010/wordprocessingShape">
                    <wps:wsp>
                      <wps:cNvSpPr txBox="1"/>
                      <wps:spPr>
                        <a:xfrm>
                          <a:off x="0" y="0"/>
                          <a:ext cx="6497428" cy="749300"/>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C0" w:rsidRPr="00FC734B" w:rsidRDefault="00ED11C0" w:rsidP="00B11CCE">
                            <w:pPr>
                              <w:rPr>
                                <w:sz w:val="24"/>
                                <w:szCs w:val="24"/>
                              </w:rPr>
                            </w:pPr>
                            <w:r w:rsidRPr="00AB4C96">
                              <w:rPr>
                                <w:sz w:val="24"/>
                                <w:szCs w:val="24"/>
                              </w:rPr>
                              <w:t>This document is likely to be of interest to regulated companies in the energy industry, government, industry groups, consumer bodies, environmental groups and those with an interest in the energy industry and network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2A98F6" id="Text Box 24" o:spid="_x0000_s1027" type="#_x0000_t202" style="width:511.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" fillcolor="#b0ee00" stroked="f" strokeweight=".5pt">
                <v:textbox>
                  <w:txbxContent>
                    <w:p w:rsidR="00ED11C0" w:rsidRPr="00FC734B" w:rsidRDefault="00ED11C0" w:rsidP="00B11CCE">
                      <w:pPr>
                        <w:rPr>
                          <w:sz w:val="24"/>
                          <w:szCs w:val="24"/>
                        </w:rPr>
                      </w:pPr>
                      <w:r w:rsidRPr="00AB4C96">
                        <w:rPr>
                          <w:sz w:val="24"/>
                          <w:szCs w:val="24"/>
                        </w:rPr>
                        <w:t>This document is likely to be of interest to regulated companies in the energy industry, government, industry groups, consumer bodies, environmental groups and those with an interest in the energy industry and network planning.</w:t>
                      </w:r>
                    </w:p>
                  </w:txbxContent>
                </v:textbox>
                <w10:anchorlock/>
              </v:shape>
            </w:pict>
          </mc:Fallback>
        </mc:AlternateContent>
      </w:r>
    </w:p>
    <w:p w:rsidR="00B11CCE" w:rsidRDefault="00B11CCE" w:rsidP="001223C7">
      <w:pPr>
        <w:pStyle w:val="BodyText"/>
        <w:spacing w:before="7" w:line="276" w:lineRule="auto"/>
        <w:rPr>
          <w:b/>
          <w:sz w:val="40"/>
        </w:rPr>
      </w:pPr>
    </w:p>
    <w:p w:rsidR="00C30B73" w:rsidRPr="000F30EB" w:rsidRDefault="00EB7E20" w:rsidP="00E475AD">
      <w:pPr>
        <w:pStyle w:val="URAbstracttitle"/>
      </w:pPr>
      <w:r w:rsidRPr="000F30EB">
        <w:t>Consumer impact</w:t>
      </w:r>
    </w:p>
    <w:p w:rsidR="00C30B73" w:rsidRDefault="00B11CCE" w:rsidP="001223C7">
      <w:pPr>
        <w:pStyle w:val="BodyText"/>
        <w:spacing w:before="2" w:line="276" w:lineRule="auto"/>
        <w:rPr>
          <w:b/>
          <w:sz w:val="15"/>
        </w:rPr>
      </w:pPr>
      <w:r>
        <w:rPr>
          <w:b/>
          <w:noProof/>
          <w:sz w:val="15"/>
          <w:lang w:bidi="ar-SA"/>
        </w:rPr>
        <mc:AlternateContent>
          <mc:Choice Requires="wps">
            <w:drawing>
              <wp:inline distT="0" distB="0" distL="0" distR="0" wp14:anchorId="08A102CA" wp14:editId="23F4B64F">
                <wp:extent cx="6497428" cy="882650"/>
                <wp:effectExtent l="0" t="0" r="0" b="0"/>
                <wp:docPr id="25" name="Text Box 25"/>
                <wp:cNvGraphicFramePr/>
                <a:graphic xmlns:a="http://schemas.openxmlformats.org/drawingml/2006/main">
                  <a:graphicData uri="http://schemas.microsoft.com/office/word/2010/wordprocessingShape">
                    <wps:wsp>
                      <wps:cNvSpPr txBox="1"/>
                      <wps:spPr>
                        <a:xfrm>
                          <a:off x="0" y="0"/>
                          <a:ext cx="6497428" cy="882650"/>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C0" w:rsidRPr="00B11CCE" w:rsidRDefault="00ED11C0" w:rsidP="00B11CCE">
                            <w:pPr>
                              <w:rPr>
                                <w:sz w:val="24"/>
                                <w:szCs w:val="24"/>
                              </w:rPr>
                            </w:pPr>
                            <w:r>
                              <w:rPr>
                                <w:sz w:val="24"/>
                                <w:szCs w:val="24"/>
                              </w:rPr>
                              <w:t>Any approved costs will increase consumer bills but will be minor and not visible. All costs approved will facilitate the energy transition in NI which will both benefit consumers and contribute to the achievement of Energy Strategy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A102CA" id="Text Box 25" o:spid="_x0000_s1028" type="#_x0000_t202" style="width:511.6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" fillcolor="#b0ee00" stroked="f" strokeweight=".5pt">
                <v:textbox>
                  <w:txbxContent>
                    <w:p w:rsidR="00ED11C0" w:rsidRPr="00B11CCE" w:rsidRDefault="00ED11C0" w:rsidP="00B11CCE">
                      <w:pPr>
                        <w:rPr>
                          <w:sz w:val="24"/>
                          <w:szCs w:val="24"/>
                        </w:rPr>
                      </w:pPr>
                      <w:r>
                        <w:rPr>
                          <w:sz w:val="24"/>
                          <w:szCs w:val="24"/>
                        </w:rPr>
                        <w:t>Any approved costs will increase consumer bills but will be minor and not visible. All costs approved will facilitate the energy transition in NI which will both benefit consumers and contribute to the achievement of Energy Strategy targets.</w:t>
                      </w:r>
                    </w:p>
                  </w:txbxContent>
                </v:textbox>
                <w10:anchorlock/>
              </v:shape>
            </w:pict>
          </mc:Fallback>
        </mc:AlternateContent>
      </w:r>
    </w:p>
    <w:p w:rsidR="00C02E7A" w:rsidRDefault="00C02E7A" w:rsidP="001223C7">
      <w:pPr>
        <w:pStyle w:val="BodyText"/>
        <w:spacing w:before="2" w:line="276" w:lineRule="auto"/>
        <w:rPr>
          <w:b/>
          <w:sz w:val="15"/>
        </w:rPr>
      </w:pPr>
    </w:p>
    <w:p w:rsidR="00C30B73" w:rsidRDefault="00C30B73" w:rsidP="001223C7">
      <w:pPr>
        <w:spacing w:line="276" w:lineRule="auto"/>
        <w:rPr>
          <w:sz w:val="15"/>
        </w:rPr>
        <w:sectPr w:rsidR="00C30B73" w:rsidSect="00883B4B">
          <w:footerReference w:type="default" r:id="rId17"/>
          <w:pgSz w:w="11910" w:h="16840"/>
          <w:pgMar w:top="1701" w:right="743" w:bottom="1134" w:left="743" w:header="272" w:footer="193" w:gutter="0"/>
          <w:pgNumType w:fmt="lowerRoman" w:start="1"/>
          <w:cols w:space="720"/>
        </w:sectPr>
      </w:pPr>
    </w:p>
    <w:p w:rsidR="009157FC" w:rsidRDefault="00EB7E20" w:rsidP="00883B4B">
      <w:pPr>
        <w:pStyle w:val="URContentstitle"/>
        <w:spacing w:before="0" w:after="400"/>
      </w:pPr>
      <w:r w:rsidRPr="00883B4B">
        <w:lastRenderedPageBreak/>
        <w:t>Contents</w:t>
      </w:r>
      <w:r w:rsidRPr="000F30EB">
        <w:t xml:space="preserve"> </w:t>
      </w:r>
    </w:p>
    <w:p w:rsidR="009157FC" w:rsidRDefault="009157FC" w:rsidP="004C3020">
      <w:pPr>
        <w:pStyle w:val="URContentstitle"/>
        <w:spacing w:before="0" w:after="400" w:line="240" w:lineRule="auto"/>
        <w:rPr>
          <w:color w:val="auto"/>
          <w:sz w:val="28"/>
        </w:rPr>
      </w:pPr>
      <w:r w:rsidRPr="004C3020">
        <w:rPr>
          <w:b w:val="0"/>
          <w:sz w:val="24"/>
          <w:szCs w:val="24"/>
        </w:rPr>
        <w:t>About the Utility Regulato</w:t>
      </w:r>
      <w:r w:rsidR="00145666">
        <w:rPr>
          <w:b w:val="0"/>
          <w:color w:val="auto"/>
          <w:sz w:val="24"/>
          <w:szCs w:val="24"/>
        </w:rPr>
        <w:t>r</w:t>
      </w:r>
    </w:p>
    <w:p w:rsidR="009157FC" w:rsidRPr="004C3020" w:rsidRDefault="009157FC" w:rsidP="004C3020">
      <w:pPr>
        <w:pStyle w:val="URContentstitle"/>
        <w:spacing w:before="0" w:after="400" w:line="240" w:lineRule="auto"/>
        <w:rPr>
          <w:b w:val="0"/>
          <w:color w:val="auto"/>
          <w:sz w:val="24"/>
          <w:szCs w:val="24"/>
        </w:rPr>
      </w:pPr>
      <w:r w:rsidRPr="004C3020">
        <w:rPr>
          <w:b w:val="0"/>
          <w:color w:val="auto"/>
          <w:sz w:val="24"/>
          <w:szCs w:val="24"/>
        </w:rPr>
        <w:t>Abstract</w:t>
      </w:r>
    </w:p>
    <w:p w:rsidR="00C30B73" w:rsidRPr="004C3020" w:rsidRDefault="00C30B73" w:rsidP="00883B4B">
      <w:pPr>
        <w:pStyle w:val="URContentstitle"/>
        <w:spacing w:before="0" w:after="400"/>
        <w:rPr>
          <w:color w:val="auto"/>
          <w:sz w:val="28"/>
        </w:rPr>
      </w:pPr>
    </w:p>
    <w:p w:rsidR="001F72D0" w:rsidRDefault="00C02E7A" w:rsidP="004A34EE">
      <w:pPr>
        <w:pStyle w:val="TOC1"/>
        <w:rPr>
          <w:rFonts w:asciiTheme="minorHAnsi" w:eastAsiaTheme="minorEastAsia" w:hAnsiTheme="minorHAnsi" w:cstheme="minorBidi"/>
          <w:noProof/>
          <w:sz w:val="22"/>
          <w:lang w:bidi="ar-SA"/>
        </w:rPr>
      </w:pPr>
      <w:r>
        <w:fldChar w:fldCharType="begin"/>
      </w:r>
      <w:r>
        <w:instrText xml:space="preserve"> TOC \o "1-2" \h \z \t "UR Exec Sum title,1" </w:instrText>
      </w:r>
      <w:r>
        <w:fldChar w:fldCharType="separate"/>
      </w:r>
      <w:hyperlink w:anchor="_Toc60911989" w:history="1">
        <w:r w:rsidR="001F72D0" w:rsidRPr="007C3197">
          <w:rPr>
            <w:rStyle w:val="Hyperlink"/>
            <w:noProof/>
          </w:rPr>
          <w:t>1. Executive Summary</w:t>
        </w:r>
        <w:r w:rsidR="001F72D0">
          <w:rPr>
            <w:noProof/>
            <w:webHidden/>
          </w:rPr>
          <w:tab/>
        </w:r>
        <w:r w:rsidR="001F72D0">
          <w:rPr>
            <w:noProof/>
            <w:webHidden/>
          </w:rPr>
          <w:fldChar w:fldCharType="begin"/>
        </w:r>
        <w:r w:rsidR="001F72D0">
          <w:rPr>
            <w:noProof/>
            <w:webHidden/>
          </w:rPr>
          <w:instrText xml:space="preserve"> PAGEREF _Toc60911989 \h </w:instrText>
        </w:r>
        <w:r w:rsidR="001F72D0">
          <w:rPr>
            <w:noProof/>
            <w:webHidden/>
          </w:rPr>
        </w:r>
        <w:r w:rsidR="001F72D0">
          <w:rPr>
            <w:noProof/>
            <w:webHidden/>
          </w:rPr>
          <w:fldChar w:fldCharType="separate"/>
        </w:r>
        <w:r w:rsidR="00897266">
          <w:rPr>
            <w:noProof/>
            <w:webHidden/>
          </w:rPr>
          <w:t>1</w:t>
        </w:r>
        <w:r w:rsidR="001F72D0">
          <w:rPr>
            <w:noProof/>
            <w:webHidden/>
          </w:rPr>
          <w:fldChar w:fldCharType="end"/>
        </w:r>
      </w:hyperlink>
    </w:p>
    <w:p w:rsidR="001F72D0" w:rsidRDefault="00104768" w:rsidP="004A34EE">
      <w:pPr>
        <w:pStyle w:val="TOC1"/>
        <w:rPr>
          <w:rFonts w:asciiTheme="minorHAnsi" w:eastAsiaTheme="minorEastAsia" w:hAnsiTheme="minorHAnsi" w:cstheme="minorBidi"/>
          <w:noProof/>
          <w:sz w:val="22"/>
          <w:lang w:bidi="ar-SA"/>
        </w:rPr>
      </w:pPr>
      <w:hyperlink w:anchor="_Toc60911990" w:history="1">
        <w:r w:rsidR="00C255DC">
          <w:rPr>
            <w:rStyle w:val="Hyperlink"/>
            <w:noProof/>
          </w:rPr>
          <w:t xml:space="preserve">2. </w:t>
        </w:r>
        <w:r w:rsidR="001F72D0" w:rsidRPr="007C3197">
          <w:rPr>
            <w:rStyle w:val="Hyperlink"/>
            <w:noProof/>
          </w:rPr>
          <w:t>Introduction and Background</w:t>
        </w:r>
        <w:r w:rsidR="001F72D0">
          <w:rPr>
            <w:noProof/>
            <w:webHidden/>
          </w:rPr>
          <w:tab/>
        </w:r>
        <w:r w:rsidR="001F72D0">
          <w:rPr>
            <w:noProof/>
            <w:webHidden/>
          </w:rPr>
          <w:fldChar w:fldCharType="begin"/>
        </w:r>
        <w:r w:rsidR="001F72D0">
          <w:rPr>
            <w:noProof/>
            <w:webHidden/>
          </w:rPr>
          <w:instrText xml:space="preserve"> PAGEREF _Toc60911990 \h </w:instrText>
        </w:r>
        <w:r w:rsidR="001F72D0">
          <w:rPr>
            <w:noProof/>
            <w:webHidden/>
          </w:rPr>
        </w:r>
        <w:r w:rsidR="001F72D0">
          <w:rPr>
            <w:noProof/>
            <w:webHidden/>
          </w:rPr>
          <w:fldChar w:fldCharType="separate"/>
        </w:r>
        <w:r w:rsidR="00897266">
          <w:rPr>
            <w:noProof/>
            <w:webHidden/>
          </w:rPr>
          <w:t>4</w:t>
        </w:r>
        <w:r w:rsidR="001F72D0">
          <w:rPr>
            <w:noProof/>
            <w:webHidden/>
          </w:rPr>
          <w:fldChar w:fldCharType="end"/>
        </w:r>
      </w:hyperlink>
    </w:p>
    <w:p w:rsidR="001F72D0" w:rsidRDefault="00104768" w:rsidP="004A34EE">
      <w:pPr>
        <w:pStyle w:val="TOC1"/>
        <w:rPr>
          <w:rFonts w:asciiTheme="minorHAnsi" w:eastAsiaTheme="minorEastAsia" w:hAnsiTheme="minorHAnsi" w:cstheme="minorBidi"/>
          <w:noProof/>
          <w:sz w:val="22"/>
          <w:lang w:bidi="ar-SA"/>
        </w:rPr>
      </w:pPr>
      <w:hyperlink w:anchor="_Toc60911991" w:history="1">
        <w:r w:rsidR="001F72D0" w:rsidRPr="007C3197">
          <w:rPr>
            <w:rStyle w:val="Hyperlink"/>
            <w:noProof/>
          </w:rPr>
          <w:t>3. Licence Modification and RP6</w:t>
        </w:r>
        <w:r w:rsidR="001F72D0">
          <w:rPr>
            <w:noProof/>
            <w:webHidden/>
          </w:rPr>
          <w:tab/>
        </w:r>
        <w:r w:rsidR="001F72D0">
          <w:rPr>
            <w:noProof/>
            <w:webHidden/>
          </w:rPr>
          <w:fldChar w:fldCharType="begin"/>
        </w:r>
        <w:r w:rsidR="001F72D0">
          <w:rPr>
            <w:noProof/>
            <w:webHidden/>
          </w:rPr>
          <w:instrText xml:space="preserve"> PAGEREF _Toc60911991 \h </w:instrText>
        </w:r>
        <w:r w:rsidR="001F72D0">
          <w:rPr>
            <w:noProof/>
            <w:webHidden/>
          </w:rPr>
        </w:r>
        <w:r w:rsidR="001F72D0">
          <w:rPr>
            <w:noProof/>
            <w:webHidden/>
          </w:rPr>
          <w:fldChar w:fldCharType="separate"/>
        </w:r>
        <w:r w:rsidR="00897266">
          <w:rPr>
            <w:noProof/>
            <w:webHidden/>
          </w:rPr>
          <w:t>5</w:t>
        </w:r>
        <w:r w:rsidR="001F72D0">
          <w:rPr>
            <w:noProof/>
            <w:webHidden/>
          </w:rPr>
          <w:fldChar w:fldCharType="end"/>
        </w:r>
      </w:hyperlink>
    </w:p>
    <w:p w:rsidR="001F72D0" w:rsidRPr="007F2764" w:rsidRDefault="00104768">
      <w:pPr>
        <w:pStyle w:val="TOC2"/>
        <w:tabs>
          <w:tab w:val="right" w:leader="dot" w:pos="9020"/>
        </w:tabs>
        <w:rPr>
          <w:rFonts w:asciiTheme="minorHAnsi" w:eastAsiaTheme="minorEastAsia" w:hAnsiTheme="minorHAnsi" w:cstheme="minorBidi"/>
          <w:b/>
          <w:noProof/>
          <w:sz w:val="22"/>
          <w:lang w:bidi="ar-SA"/>
        </w:rPr>
      </w:pPr>
      <w:hyperlink w:anchor="_Toc60911992" w:history="1">
        <w:r w:rsidR="001F72D0" w:rsidRPr="007F2764">
          <w:rPr>
            <w:rStyle w:val="Hyperlink"/>
            <w:b/>
            <w:noProof/>
          </w:rPr>
          <w:t>RP6.</w:t>
        </w:r>
        <w:r w:rsidR="001F72D0" w:rsidRPr="007F2764">
          <w:rPr>
            <w:b/>
            <w:noProof/>
            <w:webHidden/>
          </w:rPr>
          <w:tab/>
        </w:r>
        <w:r w:rsidR="001F72D0" w:rsidRPr="007F2764">
          <w:rPr>
            <w:b/>
            <w:noProof/>
            <w:webHidden/>
          </w:rPr>
          <w:fldChar w:fldCharType="begin"/>
        </w:r>
        <w:r w:rsidR="001F72D0" w:rsidRPr="007F2764">
          <w:rPr>
            <w:b/>
            <w:noProof/>
            <w:webHidden/>
          </w:rPr>
          <w:instrText xml:space="preserve"> PAGEREF _Toc60911992 \h </w:instrText>
        </w:r>
        <w:r w:rsidR="001F72D0" w:rsidRPr="007F2764">
          <w:rPr>
            <w:b/>
            <w:noProof/>
            <w:webHidden/>
          </w:rPr>
        </w:r>
        <w:r w:rsidR="001F72D0" w:rsidRPr="007F2764">
          <w:rPr>
            <w:b/>
            <w:noProof/>
            <w:webHidden/>
          </w:rPr>
          <w:fldChar w:fldCharType="separate"/>
        </w:r>
        <w:r w:rsidR="00897266">
          <w:rPr>
            <w:b/>
            <w:noProof/>
            <w:webHidden/>
          </w:rPr>
          <w:t>5</w:t>
        </w:r>
        <w:r w:rsidR="001F72D0" w:rsidRPr="007F2764">
          <w:rPr>
            <w:b/>
            <w:noProof/>
            <w:webHidden/>
          </w:rPr>
          <w:fldChar w:fldCharType="end"/>
        </w:r>
      </w:hyperlink>
    </w:p>
    <w:p w:rsidR="001F72D0" w:rsidRPr="007F2764" w:rsidRDefault="00104768">
      <w:pPr>
        <w:pStyle w:val="TOC2"/>
        <w:tabs>
          <w:tab w:val="right" w:leader="dot" w:pos="9020"/>
        </w:tabs>
        <w:rPr>
          <w:rFonts w:asciiTheme="minorHAnsi" w:eastAsiaTheme="minorEastAsia" w:hAnsiTheme="minorHAnsi" w:cstheme="minorBidi"/>
          <w:b/>
          <w:noProof/>
          <w:sz w:val="22"/>
          <w:lang w:bidi="ar-SA"/>
        </w:rPr>
      </w:pPr>
      <w:hyperlink w:anchor="_Toc60911993" w:history="1">
        <w:r w:rsidR="001F72D0" w:rsidRPr="007F2764">
          <w:rPr>
            <w:rStyle w:val="Hyperlink"/>
            <w:b/>
            <w:noProof/>
          </w:rPr>
          <w:t>NIE Networks Licences</w:t>
        </w:r>
        <w:r w:rsidR="001F72D0" w:rsidRPr="007F2764">
          <w:rPr>
            <w:b/>
            <w:noProof/>
            <w:webHidden/>
          </w:rPr>
          <w:tab/>
        </w:r>
        <w:r w:rsidR="001F72D0" w:rsidRPr="007F2764">
          <w:rPr>
            <w:b/>
            <w:noProof/>
            <w:webHidden/>
          </w:rPr>
          <w:fldChar w:fldCharType="begin"/>
        </w:r>
        <w:r w:rsidR="001F72D0" w:rsidRPr="007F2764">
          <w:rPr>
            <w:b/>
            <w:noProof/>
            <w:webHidden/>
          </w:rPr>
          <w:instrText xml:space="preserve"> PAGEREF _Toc60911993 \h </w:instrText>
        </w:r>
        <w:r w:rsidR="001F72D0" w:rsidRPr="007F2764">
          <w:rPr>
            <w:b/>
            <w:noProof/>
            <w:webHidden/>
          </w:rPr>
        </w:r>
        <w:r w:rsidR="001F72D0" w:rsidRPr="007F2764">
          <w:rPr>
            <w:b/>
            <w:noProof/>
            <w:webHidden/>
          </w:rPr>
          <w:fldChar w:fldCharType="separate"/>
        </w:r>
        <w:r w:rsidR="00897266">
          <w:rPr>
            <w:b/>
            <w:noProof/>
            <w:webHidden/>
          </w:rPr>
          <w:t>5</w:t>
        </w:r>
        <w:r w:rsidR="001F72D0" w:rsidRPr="007F2764">
          <w:rPr>
            <w:b/>
            <w:noProof/>
            <w:webHidden/>
          </w:rPr>
          <w:fldChar w:fldCharType="end"/>
        </w:r>
      </w:hyperlink>
    </w:p>
    <w:p w:rsidR="001F72D0" w:rsidRDefault="00104768">
      <w:pPr>
        <w:pStyle w:val="TOC1"/>
        <w:rPr>
          <w:rFonts w:asciiTheme="minorHAnsi" w:eastAsiaTheme="minorEastAsia" w:hAnsiTheme="minorHAnsi" w:cstheme="minorBidi"/>
          <w:noProof/>
          <w:sz w:val="22"/>
          <w:lang w:bidi="ar-SA"/>
        </w:rPr>
      </w:pPr>
      <w:hyperlink w:anchor="_Toc60911994" w:history="1">
        <w:r w:rsidR="001F72D0" w:rsidRPr="007F2764">
          <w:rPr>
            <w:rStyle w:val="Hyperlink"/>
            <w:noProof/>
            <w:sz w:val="24"/>
            <w:szCs w:val="24"/>
          </w:rPr>
          <w:t>Reasons and Effects</w:t>
        </w:r>
        <w:r w:rsidR="001F72D0">
          <w:rPr>
            <w:noProof/>
            <w:webHidden/>
          </w:rPr>
          <w:tab/>
        </w:r>
        <w:r w:rsidR="001F72D0">
          <w:rPr>
            <w:noProof/>
            <w:webHidden/>
          </w:rPr>
          <w:fldChar w:fldCharType="begin"/>
        </w:r>
        <w:r w:rsidR="001F72D0">
          <w:rPr>
            <w:noProof/>
            <w:webHidden/>
          </w:rPr>
          <w:instrText xml:space="preserve"> PAGEREF _Toc60911994 \h </w:instrText>
        </w:r>
        <w:r w:rsidR="001F72D0">
          <w:rPr>
            <w:noProof/>
            <w:webHidden/>
          </w:rPr>
        </w:r>
        <w:r w:rsidR="001F72D0">
          <w:rPr>
            <w:noProof/>
            <w:webHidden/>
          </w:rPr>
          <w:fldChar w:fldCharType="separate"/>
        </w:r>
        <w:r w:rsidR="00897266">
          <w:rPr>
            <w:noProof/>
            <w:webHidden/>
          </w:rPr>
          <w:t>9</w:t>
        </w:r>
        <w:r w:rsidR="001F72D0">
          <w:rPr>
            <w:noProof/>
            <w:webHidden/>
          </w:rPr>
          <w:fldChar w:fldCharType="end"/>
        </w:r>
      </w:hyperlink>
    </w:p>
    <w:p w:rsidR="001F72D0" w:rsidRDefault="00104768" w:rsidP="004A34EE">
      <w:pPr>
        <w:pStyle w:val="TOC1"/>
        <w:rPr>
          <w:rFonts w:asciiTheme="minorHAnsi" w:eastAsiaTheme="minorEastAsia" w:hAnsiTheme="minorHAnsi" w:cstheme="minorBidi"/>
          <w:noProof/>
          <w:sz w:val="22"/>
          <w:lang w:bidi="ar-SA"/>
        </w:rPr>
      </w:pPr>
      <w:hyperlink w:anchor="_Toc60911995" w:history="1">
        <w:r w:rsidR="001F72D0" w:rsidRPr="007C3197">
          <w:rPr>
            <w:rStyle w:val="Hyperlink"/>
            <w:noProof/>
          </w:rPr>
          <w:t>4.</w:t>
        </w:r>
        <w:r w:rsidR="00734A8D">
          <w:rPr>
            <w:rStyle w:val="Hyperlink"/>
            <w:noProof/>
          </w:rPr>
          <w:t xml:space="preserve"> </w:t>
        </w:r>
        <w:r w:rsidR="001F72D0" w:rsidRPr="007C3197">
          <w:rPr>
            <w:rStyle w:val="Hyperlink"/>
            <w:noProof/>
          </w:rPr>
          <w:t>Next Steps</w:t>
        </w:r>
        <w:r w:rsidR="001F72D0">
          <w:rPr>
            <w:noProof/>
            <w:webHidden/>
          </w:rPr>
          <w:tab/>
        </w:r>
        <w:r w:rsidR="001F72D0">
          <w:rPr>
            <w:noProof/>
            <w:webHidden/>
          </w:rPr>
          <w:fldChar w:fldCharType="begin"/>
        </w:r>
        <w:r w:rsidR="001F72D0">
          <w:rPr>
            <w:noProof/>
            <w:webHidden/>
          </w:rPr>
          <w:instrText xml:space="preserve"> PAGEREF _Toc60911995 \h </w:instrText>
        </w:r>
        <w:r w:rsidR="001F72D0">
          <w:rPr>
            <w:noProof/>
            <w:webHidden/>
          </w:rPr>
        </w:r>
        <w:r w:rsidR="001F72D0">
          <w:rPr>
            <w:noProof/>
            <w:webHidden/>
          </w:rPr>
          <w:fldChar w:fldCharType="separate"/>
        </w:r>
        <w:r w:rsidR="00897266">
          <w:rPr>
            <w:noProof/>
            <w:webHidden/>
          </w:rPr>
          <w:t>10</w:t>
        </w:r>
        <w:r w:rsidR="001F72D0">
          <w:rPr>
            <w:noProof/>
            <w:webHidden/>
          </w:rPr>
          <w:fldChar w:fldCharType="end"/>
        </w:r>
      </w:hyperlink>
    </w:p>
    <w:p w:rsidR="001F72D0" w:rsidRDefault="00104768" w:rsidP="004A34EE">
      <w:pPr>
        <w:pStyle w:val="TOC1"/>
        <w:rPr>
          <w:rFonts w:asciiTheme="minorHAnsi" w:eastAsiaTheme="minorEastAsia" w:hAnsiTheme="minorHAnsi" w:cstheme="minorBidi"/>
          <w:noProof/>
          <w:sz w:val="22"/>
          <w:lang w:bidi="ar-SA"/>
        </w:rPr>
      </w:pPr>
      <w:hyperlink w:anchor="_Toc60911996" w:history="1">
        <w:r w:rsidR="001F72D0" w:rsidRPr="007C3197">
          <w:rPr>
            <w:rStyle w:val="Hyperlink"/>
            <w:noProof/>
          </w:rPr>
          <w:t>5.</w:t>
        </w:r>
        <w:r w:rsidR="00734A8D">
          <w:rPr>
            <w:rStyle w:val="Hyperlink"/>
            <w:noProof/>
          </w:rPr>
          <w:t xml:space="preserve"> </w:t>
        </w:r>
        <w:r w:rsidR="001F72D0" w:rsidRPr="007C3197">
          <w:rPr>
            <w:rStyle w:val="Hyperlink"/>
            <w:noProof/>
          </w:rPr>
          <w:t>Annexes</w:t>
        </w:r>
        <w:r w:rsidR="001F72D0">
          <w:rPr>
            <w:noProof/>
            <w:webHidden/>
          </w:rPr>
          <w:tab/>
        </w:r>
        <w:r w:rsidR="001F72D0">
          <w:rPr>
            <w:noProof/>
            <w:webHidden/>
          </w:rPr>
          <w:fldChar w:fldCharType="begin"/>
        </w:r>
        <w:r w:rsidR="001F72D0">
          <w:rPr>
            <w:noProof/>
            <w:webHidden/>
          </w:rPr>
          <w:instrText xml:space="preserve"> PAGEREF _Toc60911996 \h </w:instrText>
        </w:r>
        <w:r w:rsidR="001F72D0">
          <w:rPr>
            <w:noProof/>
            <w:webHidden/>
          </w:rPr>
        </w:r>
        <w:r w:rsidR="001F72D0">
          <w:rPr>
            <w:noProof/>
            <w:webHidden/>
          </w:rPr>
          <w:fldChar w:fldCharType="separate"/>
        </w:r>
        <w:r w:rsidR="00897266">
          <w:rPr>
            <w:noProof/>
            <w:webHidden/>
          </w:rPr>
          <w:t>10</w:t>
        </w:r>
        <w:r w:rsidR="001F72D0">
          <w:rPr>
            <w:noProof/>
            <w:webHidden/>
          </w:rPr>
          <w:fldChar w:fldCharType="end"/>
        </w:r>
      </w:hyperlink>
    </w:p>
    <w:p w:rsidR="00883B4B" w:rsidRDefault="00C02E7A" w:rsidP="005D7F22">
      <w:pPr>
        <w:pStyle w:val="URExecSumparagraph"/>
        <w:rPr>
          <w:shd w:val="clear" w:color="auto" w:fill="auto"/>
        </w:rPr>
      </w:pPr>
      <w:r>
        <w:rPr>
          <w:shd w:val="clear" w:color="auto" w:fill="auto"/>
        </w:rPr>
        <w:fldChar w:fldCharType="end"/>
      </w:r>
    </w:p>
    <w:p w:rsidR="00297BA8" w:rsidRDefault="00297BA8">
      <w:pPr>
        <w:rPr>
          <w:color w:val="000000"/>
          <w:sz w:val="24"/>
          <w:szCs w:val="24"/>
          <w:shd w:val="clear" w:color="auto" w:fill="FFFFFF"/>
        </w:rPr>
      </w:pPr>
      <w:r>
        <w:br w:type="page"/>
      </w:r>
    </w:p>
    <w:p w:rsidR="00297BA8" w:rsidRPr="00297BA8" w:rsidRDefault="00297BA8" w:rsidP="00297BA8">
      <w:pPr>
        <w:pStyle w:val="URExecSumparagraph"/>
        <w:rPr>
          <w:b/>
          <w:lang w:val="en-US"/>
        </w:rPr>
      </w:pPr>
      <w:bookmarkStart w:id="4" w:name="_Toc23762182"/>
      <w:r w:rsidRPr="00297BA8">
        <w:rPr>
          <w:b/>
          <w:lang w:val="en-US"/>
        </w:rPr>
        <w:lastRenderedPageBreak/>
        <w:t>Acronyms and Glossary</w:t>
      </w:r>
      <w:bookmarkEnd w:id="4"/>
      <w:r w:rsidRPr="00297BA8">
        <w:rPr>
          <w:b/>
          <w:lang w:val="en-US"/>
        </w:rPr>
        <w:t xml:space="preserve"> </w:t>
      </w:r>
    </w:p>
    <w:tbl>
      <w:tblPr>
        <w:tblW w:w="89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2977"/>
        <w:gridCol w:w="4678"/>
      </w:tblGrid>
      <w:tr w:rsidR="00297BA8" w:rsidRPr="00297BA8" w:rsidTr="009157FC">
        <w:tc>
          <w:tcPr>
            <w:tcW w:w="1271" w:type="dxa"/>
          </w:tcPr>
          <w:p w:rsidR="00297BA8" w:rsidRPr="00297BA8" w:rsidRDefault="00297BA8" w:rsidP="00297BA8">
            <w:pPr>
              <w:pStyle w:val="URExecSumparagraph"/>
              <w:rPr>
                <w:b/>
                <w:bCs/>
              </w:rPr>
            </w:pPr>
            <w:r w:rsidRPr="00297BA8">
              <w:rPr>
                <w:b/>
                <w:bCs/>
              </w:rPr>
              <w:t>Acronym</w:t>
            </w:r>
          </w:p>
        </w:tc>
        <w:tc>
          <w:tcPr>
            <w:tcW w:w="2977" w:type="dxa"/>
          </w:tcPr>
          <w:p w:rsidR="00297BA8" w:rsidRPr="00297BA8" w:rsidRDefault="00297BA8" w:rsidP="00297BA8">
            <w:pPr>
              <w:pStyle w:val="URExecSumparagraph"/>
              <w:rPr>
                <w:b/>
                <w:bCs/>
              </w:rPr>
            </w:pPr>
            <w:r w:rsidRPr="00297BA8">
              <w:rPr>
                <w:b/>
                <w:bCs/>
              </w:rPr>
              <w:t>Explanation</w:t>
            </w:r>
          </w:p>
        </w:tc>
        <w:tc>
          <w:tcPr>
            <w:tcW w:w="4678" w:type="dxa"/>
          </w:tcPr>
          <w:p w:rsidR="00297BA8" w:rsidRPr="00297BA8" w:rsidRDefault="00297BA8" w:rsidP="00297BA8">
            <w:pPr>
              <w:pStyle w:val="URExecSumparagraph"/>
              <w:rPr>
                <w:b/>
                <w:bCs/>
              </w:rPr>
            </w:pPr>
            <w:r w:rsidRPr="00297BA8">
              <w:rPr>
                <w:b/>
                <w:bCs/>
              </w:rPr>
              <w:t>Detail</w:t>
            </w:r>
          </w:p>
        </w:tc>
      </w:tr>
      <w:tr w:rsidR="00297BA8" w:rsidRPr="00297BA8" w:rsidTr="009157FC">
        <w:tc>
          <w:tcPr>
            <w:tcW w:w="1271" w:type="dxa"/>
          </w:tcPr>
          <w:p w:rsidR="00297BA8" w:rsidRPr="00297BA8" w:rsidRDefault="00250426" w:rsidP="00297BA8">
            <w:pPr>
              <w:pStyle w:val="URExecSumparagraph"/>
              <w:rPr>
                <w:bCs/>
              </w:rPr>
            </w:pPr>
            <w:r>
              <w:rPr>
                <w:bCs/>
              </w:rPr>
              <w:t>Capex</w:t>
            </w:r>
          </w:p>
        </w:tc>
        <w:tc>
          <w:tcPr>
            <w:tcW w:w="2977" w:type="dxa"/>
          </w:tcPr>
          <w:p w:rsidR="00297BA8" w:rsidRPr="00297BA8" w:rsidRDefault="00250426" w:rsidP="00297BA8">
            <w:pPr>
              <w:pStyle w:val="URExecSumparagraph"/>
              <w:rPr>
                <w:bCs/>
              </w:rPr>
            </w:pPr>
            <w:r w:rsidRPr="00250426">
              <w:rPr>
                <w:bCs/>
              </w:rPr>
              <w:t>Capital expenditure</w:t>
            </w:r>
          </w:p>
        </w:tc>
        <w:tc>
          <w:tcPr>
            <w:tcW w:w="4678" w:type="dxa"/>
          </w:tcPr>
          <w:p w:rsidR="00297BA8" w:rsidRPr="00297BA8" w:rsidRDefault="00297BA8" w:rsidP="00F81572">
            <w:pPr>
              <w:pStyle w:val="URExecSumparagraph"/>
              <w:rPr>
                <w:bCs/>
              </w:rPr>
            </w:pPr>
          </w:p>
        </w:tc>
      </w:tr>
      <w:tr w:rsidR="00297BA8" w:rsidRPr="00297BA8" w:rsidTr="009157FC">
        <w:trPr>
          <w:trHeight w:val="561"/>
        </w:trPr>
        <w:tc>
          <w:tcPr>
            <w:tcW w:w="1271" w:type="dxa"/>
          </w:tcPr>
          <w:p w:rsidR="00297BA8" w:rsidRPr="00297BA8" w:rsidRDefault="00A8358D" w:rsidP="00297BA8">
            <w:pPr>
              <w:pStyle w:val="URExecSumparagraph"/>
              <w:rPr>
                <w:bCs/>
              </w:rPr>
            </w:pPr>
            <w:r>
              <w:rPr>
                <w:bCs/>
              </w:rPr>
              <w:t>Ex ante</w:t>
            </w:r>
          </w:p>
        </w:tc>
        <w:tc>
          <w:tcPr>
            <w:tcW w:w="2977" w:type="dxa"/>
          </w:tcPr>
          <w:p w:rsidR="00297BA8" w:rsidRPr="00297BA8" w:rsidRDefault="00A8358D" w:rsidP="00297BA8">
            <w:pPr>
              <w:pStyle w:val="URExecSumparagraph"/>
              <w:rPr>
                <w:bCs/>
              </w:rPr>
            </w:pPr>
            <w:r>
              <w:rPr>
                <w:bCs/>
              </w:rPr>
              <w:t>Before the event and in context of this document refers to costs based on forecasts rather than actuals.</w:t>
            </w:r>
          </w:p>
        </w:tc>
        <w:tc>
          <w:tcPr>
            <w:tcW w:w="4678" w:type="dxa"/>
          </w:tcPr>
          <w:p w:rsidR="00297BA8" w:rsidRPr="00297BA8" w:rsidRDefault="00A8358D" w:rsidP="00297BA8">
            <w:pPr>
              <w:pStyle w:val="URExecSumparagraph"/>
            </w:pPr>
            <w:r>
              <w:t>Describes how price control costs are submitted prior to the price control period and receive agreement with the UR in advance.</w:t>
            </w:r>
          </w:p>
        </w:tc>
      </w:tr>
      <w:tr w:rsidR="00297BA8" w:rsidRPr="00297BA8" w:rsidTr="009157FC">
        <w:trPr>
          <w:trHeight w:val="561"/>
        </w:trPr>
        <w:tc>
          <w:tcPr>
            <w:tcW w:w="1271" w:type="dxa"/>
          </w:tcPr>
          <w:p w:rsidR="00297BA8" w:rsidRPr="00297BA8" w:rsidRDefault="00297BA8" w:rsidP="00297BA8">
            <w:pPr>
              <w:pStyle w:val="URExecSumparagraph"/>
              <w:rPr>
                <w:bCs/>
              </w:rPr>
            </w:pPr>
            <w:r w:rsidRPr="00297BA8">
              <w:rPr>
                <w:bCs/>
              </w:rPr>
              <w:t>GB</w:t>
            </w:r>
          </w:p>
        </w:tc>
        <w:tc>
          <w:tcPr>
            <w:tcW w:w="2977" w:type="dxa"/>
          </w:tcPr>
          <w:p w:rsidR="00297BA8" w:rsidRPr="00297BA8" w:rsidRDefault="00297BA8" w:rsidP="00297BA8">
            <w:pPr>
              <w:pStyle w:val="URExecSumparagraph"/>
              <w:rPr>
                <w:bCs/>
              </w:rPr>
            </w:pPr>
            <w:r w:rsidRPr="00297BA8">
              <w:rPr>
                <w:bCs/>
              </w:rPr>
              <w:t>Great Britain</w:t>
            </w:r>
          </w:p>
        </w:tc>
        <w:tc>
          <w:tcPr>
            <w:tcW w:w="4678" w:type="dxa"/>
          </w:tcPr>
          <w:p w:rsidR="00297BA8" w:rsidRPr="00297BA8" w:rsidRDefault="00297BA8" w:rsidP="00297BA8">
            <w:pPr>
              <w:pStyle w:val="URExecSumparagraph"/>
            </w:pPr>
            <w:r w:rsidRPr="00297BA8">
              <w:t>England, Scotland and Wales collectively.</w:t>
            </w:r>
          </w:p>
        </w:tc>
      </w:tr>
      <w:tr w:rsidR="00297BA8" w:rsidRPr="00297BA8" w:rsidTr="009157FC">
        <w:trPr>
          <w:trHeight w:val="561"/>
        </w:trPr>
        <w:tc>
          <w:tcPr>
            <w:tcW w:w="1271" w:type="dxa"/>
          </w:tcPr>
          <w:p w:rsidR="00297BA8" w:rsidRPr="00297BA8" w:rsidRDefault="00297BA8" w:rsidP="00297BA8">
            <w:pPr>
              <w:pStyle w:val="URExecSumparagraph"/>
              <w:rPr>
                <w:bCs/>
              </w:rPr>
            </w:pPr>
            <w:r w:rsidRPr="00297BA8">
              <w:rPr>
                <w:bCs/>
              </w:rPr>
              <w:t>NI</w:t>
            </w:r>
          </w:p>
        </w:tc>
        <w:tc>
          <w:tcPr>
            <w:tcW w:w="2977" w:type="dxa"/>
          </w:tcPr>
          <w:p w:rsidR="00297BA8" w:rsidRPr="00297BA8" w:rsidRDefault="00297BA8" w:rsidP="00297BA8">
            <w:pPr>
              <w:pStyle w:val="URExecSumparagraph"/>
              <w:rPr>
                <w:bCs/>
              </w:rPr>
            </w:pPr>
            <w:r w:rsidRPr="00297BA8">
              <w:rPr>
                <w:bCs/>
              </w:rPr>
              <w:t>Northern Ireland</w:t>
            </w:r>
          </w:p>
        </w:tc>
        <w:tc>
          <w:tcPr>
            <w:tcW w:w="4678" w:type="dxa"/>
          </w:tcPr>
          <w:p w:rsidR="00297BA8" w:rsidRPr="00297BA8" w:rsidRDefault="00297BA8" w:rsidP="00297BA8">
            <w:pPr>
              <w:pStyle w:val="URExecSumparagraph"/>
              <w:rPr>
                <w:bCs/>
              </w:rPr>
            </w:pPr>
            <w:r w:rsidRPr="00297BA8">
              <w:rPr>
                <w:bCs/>
              </w:rPr>
              <w:t>One of the four countries of the United Kingdom along with England, Scotland and Wales.</w:t>
            </w:r>
          </w:p>
        </w:tc>
      </w:tr>
      <w:tr w:rsidR="00297BA8" w:rsidRPr="00297BA8" w:rsidTr="009157FC">
        <w:trPr>
          <w:trHeight w:val="561"/>
        </w:trPr>
        <w:tc>
          <w:tcPr>
            <w:tcW w:w="1271" w:type="dxa"/>
          </w:tcPr>
          <w:p w:rsidR="00297BA8" w:rsidRPr="001F624B" w:rsidRDefault="008E0B2B" w:rsidP="001F624B">
            <w:pPr>
              <w:pStyle w:val="URExecSumparagraph"/>
              <w:rPr>
                <w:bCs/>
              </w:rPr>
            </w:pPr>
            <w:r w:rsidRPr="004A34EE">
              <w:rPr>
                <w:bCs/>
              </w:rPr>
              <w:t xml:space="preserve">NIE </w:t>
            </w:r>
            <w:r w:rsidR="00624B94" w:rsidRPr="004A34EE">
              <w:rPr>
                <w:bCs/>
              </w:rPr>
              <w:t>Networks</w:t>
            </w:r>
          </w:p>
        </w:tc>
        <w:tc>
          <w:tcPr>
            <w:tcW w:w="2977" w:type="dxa"/>
          </w:tcPr>
          <w:p w:rsidR="00297BA8" w:rsidRPr="00FD61DD" w:rsidRDefault="00297BA8" w:rsidP="00297BA8">
            <w:pPr>
              <w:pStyle w:val="URExecSumparagraph"/>
              <w:rPr>
                <w:bCs/>
              </w:rPr>
            </w:pPr>
            <w:r w:rsidRPr="00FD61DD">
              <w:rPr>
                <w:bCs/>
              </w:rPr>
              <w:t>Northern Ireland Electricity Networks</w:t>
            </w:r>
          </w:p>
        </w:tc>
        <w:tc>
          <w:tcPr>
            <w:tcW w:w="4678" w:type="dxa"/>
          </w:tcPr>
          <w:p w:rsidR="00297BA8" w:rsidRPr="00624B94" w:rsidRDefault="00297BA8" w:rsidP="00297BA8">
            <w:pPr>
              <w:pStyle w:val="URExecSumparagraph"/>
              <w:rPr>
                <w:bCs/>
              </w:rPr>
            </w:pPr>
            <w:r w:rsidRPr="00624B94">
              <w:rPr>
                <w:bCs/>
              </w:rPr>
              <w:t>Owns the electricity transmission and distribution network and operates the electricity distribution network which transports electricity to over 860,000 customers.</w:t>
            </w:r>
          </w:p>
        </w:tc>
      </w:tr>
      <w:tr w:rsidR="00250426" w:rsidRPr="00297BA8" w:rsidTr="009157FC">
        <w:trPr>
          <w:trHeight w:val="561"/>
        </w:trPr>
        <w:tc>
          <w:tcPr>
            <w:tcW w:w="1271" w:type="dxa"/>
          </w:tcPr>
          <w:p w:rsidR="00250426" w:rsidRDefault="00250426" w:rsidP="00250426">
            <w:pPr>
              <w:pStyle w:val="URExecSumparagraph"/>
              <w:rPr>
                <w:bCs/>
              </w:rPr>
            </w:pPr>
            <w:r>
              <w:rPr>
                <w:bCs/>
              </w:rPr>
              <w:t>Opex</w:t>
            </w:r>
          </w:p>
        </w:tc>
        <w:tc>
          <w:tcPr>
            <w:tcW w:w="2977" w:type="dxa"/>
          </w:tcPr>
          <w:p w:rsidR="00250426" w:rsidRPr="00297BA8" w:rsidRDefault="00250426" w:rsidP="00297BA8">
            <w:pPr>
              <w:pStyle w:val="URExecSumparagraph"/>
              <w:rPr>
                <w:bCs/>
              </w:rPr>
            </w:pPr>
            <w:r w:rsidRPr="00250426">
              <w:rPr>
                <w:bCs/>
              </w:rPr>
              <w:t>Operating expenditure</w:t>
            </w:r>
          </w:p>
        </w:tc>
        <w:tc>
          <w:tcPr>
            <w:tcW w:w="4678" w:type="dxa"/>
          </w:tcPr>
          <w:p w:rsidR="00250426" w:rsidRPr="00297BA8" w:rsidRDefault="00250426" w:rsidP="00297BA8">
            <w:pPr>
              <w:pStyle w:val="URExecSumparagraph"/>
              <w:rPr>
                <w:bCs/>
              </w:rPr>
            </w:pPr>
          </w:p>
        </w:tc>
      </w:tr>
      <w:tr w:rsidR="00F90160" w:rsidRPr="00297BA8" w:rsidTr="009157FC">
        <w:trPr>
          <w:trHeight w:val="561"/>
        </w:trPr>
        <w:tc>
          <w:tcPr>
            <w:tcW w:w="1271" w:type="dxa"/>
          </w:tcPr>
          <w:p w:rsidR="00F90160" w:rsidRDefault="00F90160" w:rsidP="00297BA8">
            <w:pPr>
              <w:pStyle w:val="URExecSumparagraph"/>
              <w:rPr>
                <w:bCs/>
              </w:rPr>
            </w:pPr>
            <w:r>
              <w:rPr>
                <w:bCs/>
              </w:rPr>
              <w:t>RP6</w:t>
            </w:r>
          </w:p>
        </w:tc>
        <w:tc>
          <w:tcPr>
            <w:tcW w:w="2977" w:type="dxa"/>
          </w:tcPr>
          <w:p w:rsidR="00F90160" w:rsidRDefault="00F90160" w:rsidP="00297BA8">
            <w:pPr>
              <w:pStyle w:val="URExecSumparagraph"/>
              <w:rPr>
                <w:bCs/>
              </w:rPr>
            </w:pPr>
          </w:p>
        </w:tc>
        <w:tc>
          <w:tcPr>
            <w:tcW w:w="4678" w:type="dxa"/>
          </w:tcPr>
          <w:p w:rsidR="00F90160" w:rsidRDefault="00F90160" w:rsidP="00F90160">
            <w:pPr>
              <w:pStyle w:val="URExecSumparagraph"/>
              <w:rPr>
                <w:bCs/>
              </w:rPr>
            </w:pPr>
            <w:r>
              <w:t xml:space="preserve">This is the name given to the </w:t>
            </w:r>
            <w:r w:rsidR="003B7449">
              <w:t xml:space="preserve">Transmission &amp; Distribution </w:t>
            </w:r>
            <w:r>
              <w:t>price control for NIE Networks, covering the period from 1 October 2017 to 31 March 2024</w:t>
            </w:r>
          </w:p>
        </w:tc>
      </w:tr>
      <w:tr w:rsidR="00297BA8" w:rsidRPr="00297BA8" w:rsidTr="009157FC">
        <w:trPr>
          <w:trHeight w:val="561"/>
        </w:trPr>
        <w:tc>
          <w:tcPr>
            <w:tcW w:w="1271" w:type="dxa"/>
          </w:tcPr>
          <w:p w:rsidR="00297BA8" w:rsidRPr="00297BA8" w:rsidRDefault="00297BA8" w:rsidP="00297BA8">
            <w:pPr>
              <w:pStyle w:val="URExecSumparagraph"/>
              <w:rPr>
                <w:bCs/>
              </w:rPr>
            </w:pPr>
            <w:r w:rsidRPr="00297BA8">
              <w:rPr>
                <w:bCs/>
              </w:rPr>
              <w:t>UK</w:t>
            </w:r>
          </w:p>
        </w:tc>
        <w:tc>
          <w:tcPr>
            <w:tcW w:w="2977" w:type="dxa"/>
          </w:tcPr>
          <w:p w:rsidR="00297BA8" w:rsidRPr="00297BA8" w:rsidRDefault="00297BA8" w:rsidP="00297BA8">
            <w:pPr>
              <w:pStyle w:val="URExecSumparagraph"/>
              <w:rPr>
                <w:bCs/>
              </w:rPr>
            </w:pPr>
            <w:r w:rsidRPr="00297BA8">
              <w:rPr>
                <w:bCs/>
              </w:rPr>
              <w:t>United Kingdom</w:t>
            </w:r>
          </w:p>
        </w:tc>
        <w:tc>
          <w:tcPr>
            <w:tcW w:w="4678" w:type="dxa"/>
          </w:tcPr>
          <w:p w:rsidR="00297BA8" w:rsidRPr="00297BA8" w:rsidRDefault="00297BA8" w:rsidP="00297BA8">
            <w:pPr>
              <w:pStyle w:val="URExecSumparagraph"/>
              <w:rPr>
                <w:bCs/>
              </w:rPr>
            </w:pPr>
            <w:r w:rsidRPr="00297BA8">
              <w:rPr>
                <w:bCs/>
              </w:rPr>
              <w:t>United Kingdom of Great Britain and Northern Ireland.</w:t>
            </w:r>
          </w:p>
        </w:tc>
      </w:tr>
      <w:tr w:rsidR="00297BA8" w:rsidRPr="00297BA8" w:rsidTr="009157FC">
        <w:trPr>
          <w:trHeight w:val="561"/>
        </w:trPr>
        <w:tc>
          <w:tcPr>
            <w:tcW w:w="1271" w:type="dxa"/>
          </w:tcPr>
          <w:p w:rsidR="00297BA8" w:rsidRPr="00297BA8" w:rsidRDefault="00297BA8" w:rsidP="00297BA8">
            <w:pPr>
              <w:pStyle w:val="URExecSumparagraph"/>
              <w:rPr>
                <w:bCs/>
              </w:rPr>
            </w:pPr>
            <w:r w:rsidRPr="00297BA8">
              <w:rPr>
                <w:bCs/>
              </w:rPr>
              <w:t>UR</w:t>
            </w:r>
          </w:p>
        </w:tc>
        <w:tc>
          <w:tcPr>
            <w:tcW w:w="2977" w:type="dxa"/>
          </w:tcPr>
          <w:p w:rsidR="00297BA8" w:rsidRPr="00297BA8" w:rsidRDefault="00297BA8" w:rsidP="00297BA8">
            <w:pPr>
              <w:pStyle w:val="URExecSumparagraph"/>
              <w:rPr>
                <w:bCs/>
              </w:rPr>
            </w:pPr>
            <w:r w:rsidRPr="00297BA8">
              <w:rPr>
                <w:bCs/>
              </w:rPr>
              <w:t>Utility Regulator</w:t>
            </w:r>
          </w:p>
        </w:tc>
        <w:tc>
          <w:tcPr>
            <w:tcW w:w="4678" w:type="dxa"/>
          </w:tcPr>
          <w:p w:rsidR="00297BA8" w:rsidRPr="00297BA8" w:rsidRDefault="00297BA8" w:rsidP="00297BA8">
            <w:pPr>
              <w:pStyle w:val="URExecSumparagraph"/>
              <w:rPr>
                <w:bCs/>
              </w:rPr>
            </w:pPr>
            <w:r w:rsidRPr="00297BA8">
              <w:rPr>
                <w:bCs/>
              </w:rPr>
              <w:t>The regulator for the gas, electricity and water industries in Northern Ireland.</w:t>
            </w:r>
          </w:p>
        </w:tc>
      </w:tr>
    </w:tbl>
    <w:p w:rsidR="00297BA8" w:rsidRDefault="00297BA8" w:rsidP="005D7F22">
      <w:pPr>
        <w:pStyle w:val="URExecSumparagraph"/>
      </w:pPr>
    </w:p>
    <w:p w:rsidR="009B5032" w:rsidRDefault="009B5032" w:rsidP="005D7F22">
      <w:pPr>
        <w:pStyle w:val="URExecSumparagraph"/>
      </w:pPr>
    </w:p>
    <w:p w:rsidR="009B5032" w:rsidRPr="00BA773B" w:rsidRDefault="009B5032" w:rsidP="005D7F22">
      <w:pPr>
        <w:pStyle w:val="URExecSumparagraph"/>
        <w:sectPr w:rsidR="009B5032" w:rsidRPr="00BA773B" w:rsidSect="00883B4B">
          <w:pgSz w:w="11910" w:h="16840"/>
          <w:pgMar w:top="1701" w:right="1440" w:bottom="1134" w:left="1440" w:header="272" w:footer="193" w:gutter="0"/>
          <w:pgNumType w:fmt="lowerRoman"/>
          <w:cols w:space="720"/>
        </w:sectPr>
      </w:pPr>
    </w:p>
    <w:p w:rsidR="00C30B73" w:rsidRPr="000F30EB" w:rsidRDefault="00A26C54" w:rsidP="00A26C54">
      <w:pPr>
        <w:pStyle w:val="URExecSumtitle"/>
        <w:ind w:left="720" w:hanging="720"/>
      </w:pPr>
      <w:bookmarkStart w:id="5" w:name="_Toc60911989"/>
      <w:bookmarkStart w:id="6" w:name="_Toc503968668"/>
      <w:r>
        <w:lastRenderedPageBreak/>
        <w:t>1</w:t>
      </w:r>
      <w:r w:rsidR="00E111C8">
        <w:t>.</w:t>
      </w:r>
      <w:r>
        <w:t xml:space="preserve"> </w:t>
      </w:r>
      <w:r w:rsidR="008D752E">
        <w:tab/>
      </w:r>
      <w:r w:rsidR="00EB7E20" w:rsidRPr="000F30EB">
        <w:t>Executive Summary</w:t>
      </w:r>
      <w:bookmarkEnd w:id="5"/>
      <w:r w:rsidR="00EB7E20" w:rsidRPr="000F30EB">
        <w:t xml:space="preserve"> </w:t>
      </w:r>
      <w:bookmarkEnd w:id="6"/>
    </w:p>
    <w:p w:rsidR="00F046DF" w:rsidRDefault="00A26C54" w:rsidP="00AB4DDA">
      <w:pPr>
        <w:pStyle w:val="URExecSumparagraph"/>
        <w:ind w:left="851" w:hanging="851"/>
      </w:pPr>
      <w:r>
        <w:t xml:space="preserve">1.1 </w:t>
      </w:r>
      <w:r w:rsidR="000B7B9A">
        <w:tab/>
      </w:r>
      <w:r w:rsidR="00F046DF" w:rsidRPr="00F046DF">
        <w:t>The UR</w:t>
      </w:r>
      <w:r w:rsidR="00F046DF">
        <w:t xml:space="preserve"> and NIE</w:t>
      </w:r>
      <w:r w:rsidR="00C30CD1">
        <w:t xml:space="preserve"> Networks</w:t>
      </w:r>
      <w:r w:rsidR="00F046DF">
        <w:t xml:space="preserve"> are both</w:t>
      </w:r>
      <w:r w:rsidR="00F046DF" w:rsidRPr="00F046DF">
        <w:t xml:space="preserve"> </w:t>
      </w:r>
      <w:r w:rsidR="00F046DF">
        <w:t>key stakeholders in the implementation of the DfE</w:t>
      </w:r>
      <w:r w:rsidR="007328AD">
        <w:t xml:space="preserve"> e</w:t>
      </w:r>
      <w:r w:rsidR="00F046DF">
        <w:t xml:space="preserve">nergy </w:t>
      </w:r>
      <w:r w:rsidR="007328AD">
        <w:t>s</w:t>
      </w:r>
      <w:r w:rsidR="00F046DF">
        <w:t>trategy</w:t>
      </w:r>
      <w:r w:rsidR="00657CD2">
        <w:t xml:space="preserve"> due </w:t>
      </w:r>
      <w:r w:rsidR="00C30CD1">
        <w:t xml:space="preserve">to </w:t>
      </w:r>
      <w:r w:rsidR="007F2764">
        <w:t>be launched</w:t>
      </w:r>
      <w:r w:rsidR="00F046DF">
        <w:t xml:space="preserve"> in 202</w:t>
      </w:r>
      <w:r w:rsidR="00C30CD1">
        <w:t>1</w:t>
      </w:r>
      <w:r w:rsidR="00F046DF">
        <w:t>. As part of delivering on the objectives of the strategy</w:t>
      </w:r>
      <w:r w:rsidR="00174B1B">
        <w:t>,</w:t>
      </w:r>
      <w:r w:rsidR="00F046DF">
        <w:t xml:space="preserve"> NIE</w:t>
      </w:r>
      <w:r w:rsidR="008E0B2B">
        <w:t xml:space="preserve"> </w:t>
      </w:r>
      <w:r w:rsidR="00F046DF">
        <w:t>N</w:t>
      </w:r>
      <w:r w:rsidR="008E0B2B">
        <w:t>etworks</w:t>
      </w:r>
      <w:r w:rsidR="00F046DF">
        <w:t xml:space="preserve"> </w:t>
      </w:r>
      <w:r w:rsidR="00FC734B">
        <w:t>are working on identifying and scoping the detail of</w:t>
      </w:r>
      <w:r w:rsidR="00F046DF">
        <w:t xml:space="preserve"> a number of key projects which need to be undertaken</w:t>
      </w:r>
      <w:r w:rsidR="00E94A57">
        <w:t>,</w:t>
      </w:r>
      <w:r w:rsidR="00F046DF">
        <w:t xml:space="preserve"> and</w:t>
      </w:r>
      <w:r w:rsidR="00E94A57">
        <w:t>,</w:t>
      </w:r>
      <w:r w:rsidR="00F046DF">
        <w:t xml:space="preserve"> for which recovery of efficiently incurred costs are required.</w:t>
      </w:r>
      <w:r w:rsidR="00A8358D">
        <w:t xml:space="preserve"> NIE</w:t>
      </w:r>
      <w:r w:rsidR="008E0B2B">
        <w:t xml:space="preserve"> Networks</w:t>
      </w:r>
      <w:r w:rsidR="00A8358D">
        <w:t xml:space="preserve"> funding is achieved via an ex ante price control review with the current price control being RP6.</w:t>
      </w:r>
    </w:p>
    <w:p w:rsidR="00A8358D" w:rsidRDefault="00A26C54" w:rsidP="00AB4DDA">
      <w:pPr>
        <w:pStyle w:val="URExecSumparagraph"/>
        <w:ind w:left="851" w:hanging="851"/>
      </w:pPr>
      <w:r>
        <w:t xml:space="preserve">1.2 </w:t>
      </w:r>
      <w:r w:rsidR="000B7B9A">
        <w:tab/>
      </w:r>
      <w:r w:rsidR="00A8358D">
        <w:t>RP6 commenced on 1 October 2017 and expire</w:t>
      </w:r>
      <w:r w:rsidR="005D4A70">
        <w:t>s</w:t>
      </w:r>
      <w:r w:rsidR="00A8358D">
        <w:t xml:space="preserve"> on 31 March 2024</w:t>
      </w:r>
      <w:r w:rsidR="00F61CE3">
        <w:t>. As the</w:t>
      </w:r>
      <w:r w:rsidR="00A8358D">
        <w:t xml:space="preserve"> aforementioned projects have emerged </w:t>
      </w:r>
      <w:r w:rsidR="000575D5">
        <w:t>mid-price</w:t>
      </w:r>
      <w:r w:rsidR="00F61CE3">
        <w:t xml:space="preserve"> control</w:t>
      </w:r>
      <w:r w:rsidR="005D4A70">
        <w:t>,</w:t>
      </w:r>
      <w:r w:rsidR="00F61CE3">
        <w:t xml:space="preserve"> the associated costs cannot currently be recovered via the price control. Therefore </w:t>
      </w:r>
      <w:r w:rsidR="005D4A70">
        <w:t xml:space="preserve">the </w:t>
      </w:r>
      <w:r w:rsidR="00F61CE3">
        <w:t>UR intend</w:t>
      </w:r>
      <w:r w:rsidR="005D4A70">
        <w:t>s</w:t>
      </w:r>
      <w:r w:rsidR="00F61CE3">
        <w:t xml:space="preserve"> to undertake licence modification</w:t>
      </w:r>
      <w:r w:rsidR="005F30DD">
        <w:t>s</w:t>
      </w:r>
      <w:r w:rsidR="00F61CE3">
        <w:t xml:space="preserve"> </w:t>
      </w:r>
      <w:r w:rsidR="005D4A70">
        <w:t>with</w:t>
      </w:r>
      <w:r w:rsidR="00F61CE3">
        <w:t>in the NIE</w:t>
      </w:r>
      <w:r w:rsidR="008E0B2B">
        <w:t xml:space="preserve"> </w:t>
      </w:r>
      <w:r w:rsidR="00F61CE3">
        <w:t>N</w:t>
      </w:r>
      <w:r w:rsidR="008E0B2B">
        <w:t>etworks</w:t>
      </w:r>
      <w:r w:rsidR="00F61CE3">
        <w:t xml:space="preserve"> Distribution</w:t>
      </w:r>
      <w:r w:rsidR="004F5375">
        <w:t xml:space="preserve"> and Transmission</w:t>
      </w:r>
      <w:r w:rsidR="00F61CE3">
        <w:t xml:space="preserve"> Licence</w:t>
      </w:r>
      <w:r w:rsidR="004F5375">
        <w:t>s</w:t>
      </w:r>
      <w:r w:rsidR="00F61CE3">
        <w:t xml:space="preserve"> to introduce a new condition which will allow costs for </w:t>
      </w:r>
      <w:r w:rsidR="00FC734B">
        <w:t xml:space="preserve">additional </w:t>
      </w:r>
      <w:r w:rsidR="00F61CE3">
        <w:t xml:space="preserve">IT enhancements to be recovered </w:t>
      </w:r>
      <w:r w:rsidR="00657CD2">
        <w:t>in line with the current incentive mechanisms</w:t>
      </w:r>
      <w:r w:rsidR="00685424">
        <w:t xml:space="preserve"> in RP6</w:t>
      </w:r>
      <w:r w:rsidR="00F61CE3">
        <w:t>.</w:t>
      </w:r>
      <w:r w:rsidR="00685424">
        <w:t xml:space="preserve"> </w:t>
      </w:r>
    </w:p>
    <w:p w:rsidR="00E8756A" w:rsidRDefault="00A26C54" w:rsidP="00AB4DDA">
      <w:pPr>
        <w:pStyle w:val="URExecSumparagraph"/>
        <w:ind w:left="851" w:hanging="851"/>
      </w:pPr>
      <w:r>
        <w:t>1.3</w:t>
      </w:r>
      <w:r w:rsidR="000B7B9A">
        <w:t xml:space="preserve"> </w:t>
      </w:r>
      <w:r w:rsidR="000B7B9A">
        <w:tab/>
      </w:r>
      <w:r w:rsidR="00F61CE3">
        <w:t>The document outline</w:t>
      </w:r>
      <w:r w:rsidR="00657CD2">
        <w:t>s</w:t>
      </w:r>
      <w:r w:rsidR="00F61CE3">
        <w:t xml:space="preserve"> the background to the proposal, the proposed modification</w:t>
      </w:r>
      <w:r w:rsidR="00974DC1">
        <w:t>s</w:t>
      </w:r>
      <w:r w:rsidR="00F61CE3">
        <w:t xml:space="preserve"> and reasons and effects of the proposal.</w:t>
      </w:r>
    </w:p>
    <w:p w:rsidR="00E8756A" w:rsidRDefault="00E8756A" w:rsidP="00E8756A">
      <w:pPr>
        <w:pStyle w:val="URExecSumparagraph"/>
        <w:rPr>
          <w:b/>
          <w:bCs/>
          <w:sz w:val="28"/>
          <w:szCs w:val="28"/>
        </w:rPr>
      </w:pPr>
      <w:r>
        <w:rPr>
          <w:b/>
          <w:bCs/>
          <w:sz w:val="28"/>
          <w:szCs w:val="28"/>
        </w:rPr>
        <w:t>Responding to the Consultation</w:t>
      </w:r>
    </w:p>
    <w:p w:rsidR="00F046DF" w:rsidRDefault="00A26C54" w:rsidP="00AB4DDA">
      <w:pPr>
        <w:pStyle w:val="URExecSumparagraph"/>
        <w:ind w:left="851" w:hanging="851"/>
      </w:pPr>
      <w:r>
        <w:t xml:space="preserve">1.4 </w:t>
      </w:r>
      <w:r w:rsidR="000B7B9A">
        <w:tab/>
      </w:r>
      <w:r w:rsidR="00F046DF">
        <w:t xml:space="preserve">The Utility Regulator welcomes industry and stakeholder views and comments on the outlined licence modifications proposals and their effect. Any representations or objections with respect to the proposals may be made on or before </w:t>
      </w:r>
      <w:r w:rsidR="00DC7A33">
        <w:t>5 April</w:t>
      </w:r>
      <w:r w:rsidR="00DB392A" w:rsidRPr="004A34EE">
        <w:t xml:space="preserve"> 2021</w:t>
      </w:r>
      <w:r w:rsidR="00DB392A">
        <w:t xml:space="preserve"> </w:t>
      </w:r>
      <w:r w:rsidR="00F046DF" w:rsidRPr="001F624B">
        <w:t>to</w:t>
      </w:r>
      <w:r w:rsidR="00F046DF">
        <w:t>:</w:t>
      </w:r>
    </w:p>
    <w:p w:rsidR="00F046DF" w:rsidRDefault="00F046DF" w:rsidP="00AB4DDA">
      <w:pPr>
        <w:pStyle w:val="URExecSumparagraph"/>
        <w:ind w:left="851"/>
      </w:pPr>
      <w:r>
        <w:t>Ruairi McCann</w:t>
      </w:r>
    </w:p>
    <w:p w:rsidR="00E8756A" w:rsidRDefault="00E8756A" w:rsidP="00AB4DDA">
      <w:pPr>
        <w:pStyle w:val="URExecSumparagraph"/>
        <w:ind w:left="851"/>
      </w:pPr>
      <w:r>
        <w:t xml:space="preserve">Networks Directorate </w:t>
      </w:r>
    </w:p>
    <w:p w:rsidR="00E8756A" w:rsidRDefault="00E8756A" w:rsidP="00AB4DDA">
      <w:pPr>
        <w:pStyle w:val="URExecSumparagraph"/>
        <w:ind w:left="851"/>
      </w:pPr>
      <w:r>
        <w:t xml:space="preserve">Utility Regulator </w:t>
      </w:r>
    </w:p>
    <w:p w:rsidR="00E8756A" w:rsidRDefault="00E8756A" w:rsidP="00AB4DDA">
      <w:pPr>
        <w:pStyle w:val="URExecSumparagraph"/>
        <w:ind w:left="851"/>
      </w:pPr>
      <w:r>
        <w:t xml:space="preserve">Queens House </w:t>
      </w:r>
    </w:p>
    <w:p w:rsidR="00E8756A" w:rsidRDefault="00E8756A" w:rsidP="00AB4DDA">
      <w:pPr>
        <w:pStyle w:val="URExecSumparagraph"/>
        <w:ind w:left="851"/>
      </w:pPr>
      <w:r>
        <w:t xml:space="preserve">14 Queens Street </w:t>
      </w:r>
    </w:p>
    <w:p w:rsidR="00E8756A" w:rsidRDefault="00E8756A" w:rsidP="00AB4DDA">
      <w:pPr>
        <w:pStyle w:val="URExecSumparagraph"/>
        <w:ind w:left="851"/>
      </w:pPr>
      <w:r>
        <w:t xml:space="preserve">Belfast BT1 6ER </w:t>
      </w:r>
    </w:p>
    <w:p w:rsidR="000752C7" w:rsidRPr="00F046DF" w:rsidRDefault="00F046DF" w:rsidP="00AB4DDA">
      <w:pPr>
        <w:pStyle w:val="URExecSumparagraph"/>
        <w:ind w:left="851"/>
        <w:rPr>
          <w:color w:val="0000FF" w:themeColor="hyperlink"/>
          <w:u w:val="single"/>
        </w:rPr>
      </w:pPr>
      <w:r>
        <w:t xml:space="preserve">Email: </w:t>
      </w:r>
      <w:hyperlink r:id="rId18" w:history="1">
        <w:r w:rsidR="000752C7" w:rsidRPr="001718A6">
          <w:rPr>
            <w:rStyle w:val="Hyperlink"/>
          </w:rPr>
          <w:t>Electricity_Networks_Responses@uregni.gov.uk</w:t>
        </w:r>
      </w:hyperlink>
      <w:r>
        <w:rPr>
          <w:rStyle w:val="Hyperlink"/>
        </w:rPr>
        <w:t xml:space="preserve"> </w:t>
      </w:r>
      <w:r>
        <w:t xml:space="preserve">with cc to </w:t>
      </w:r>
      <w:hyperlink r:id="rId19" w:history="1">
        <w:r w:rsidRPr="00C8069E">
          <w:rPr>
            <w:rStyle w:val="Hyperlink"/>
          </w:rPr>
          <w:t>ruairi.mccann@uregni.gov.uk</w:t>
        </w:r>
      </w:hyperlink>
    </w:p>
    <w:p w:rsidR="00F046DF" w:rsidRDefault="00F046DF" w:rsidP="000752C7">
      <w:pPr>
        <w:pStyle w:val="Default"/>
      </w:pPr>
    </w:p>
    <w:p w:rsidR="000752C7" w:rsidRPr="000A4E65" w:rsidRDefault="00A26C54" w:rsidP="00AB4DDA">
      <w:pPr>
        <w:pStyle w:val="Default"/>
        <w:spacing w:after="196" w:line="276" w:lineRule="auto"/>
        <w:ind w:left="851" w:hanging="851"/>
      </w:pPr>
      <w:r>
        <w:t xml:space="preserve">1.5 </w:t>
      </w:r>
      <w:r w:rsidR="000B7B9A">
        <w:tab/>
      </w:r>
      <w:r w:rsidR="000752C7" w:rsidRPr="000A4E65">
        <w:t xml:space="preserve">The Utility Regulator's preference would be for responses to be submitted by e-mail. </w:t>
      </w:r>
    </w:p>
    <w:p w:rsidR="000752C7" w:rsidRPr="000A4E65" w:rsidRDefault="00A26C54" w:rsidP="00AB4DDA">
      <w:pPr>
        <w:pStyle w:val="Default"/>
        <w:spacing w:line="276" w:lineRule="auto"/>
        <w:ind w:left="851" w:hanging="851"/>
      </w:pPr>
      <w:r>
        <w:lastRenderedPageBreak/>
        <w:t xml:space="preserve">1.6 </w:t>
      </w:r>
      <w:r w:rsidR="00B5157A">
        <w:tab/>
      </w:r>
      <w:r w:rsidR="000752C7" w:rsidRPr="000A4E65">
        <w:t xml:space="preserve">Individual respondents may ask for their responses (in whole or in part) not to be published, or that their identity should be withheld from public disclosure. Where either of these is the case, please provide also a non-confidential version suitable for publication. </w:t>
      </w:r>
    </w:p>
    <w:p w:rsidR="000752C7" w:rsidRPr="000A4E65" w:rsidRDefault="000752C7" w:rsidP="00AB4DDA">
      <w:pPr>
        <w:pStyle w:val="Default"/>
        <w:tabs>
          <w:tab w:val="left" w:pos="851"/>
        </w:tabs>
      </w:pPr>
    </w:p>
    <w:p w:rsidR="000752C7" w:rsidRPr="000A4E65" w:rsidRDefault="00A26C54" w:rsidP="00AB4DDA">
      <w:pPr>
        <w:pStyle w:val="Default"/>
        <w:tabs>
          <w:tab w:val="left" w:pos="851"/>
        </w:tabs>
        <w:spacing w:after="196" w:line="276" w:lineRule="auto"/>
        <w:ind w:left="851" w:hanging="851"/>
      </w:pPr>
      <w:r>
        <w:t xml:space="preserve">1.7 </w:t>
      </w:r>
      <w:r w:rsidR="000E5EDC">
        <w:tab/>
      </w:r>
      <w:r w:rsidR="000752C7" w:rsidRPr="000A4E65">
        <w:t>As a public body and non-ministerial government department, the Utility Regulator is required to comply with the Freedom of Information Act (“FOIA</w:t>
      </w:r>
      <w:r w:rsidR="000752C7" w:rsidRPr="000A4E65">
        <w:rPr>
          <w:b/>
          <w:bCs/>
        </w:rPr>
        <w:t>”</w:t>
      </w:r>
      <w:r w:rsidR="000752C7" w:rsidRPr="000A4E65">
        <w:t xml:space="preserve">). The effect of FOIA may be that certain recorded information contained in consultation responses is required to be put into the public domain. Hence it is now possible that all responses made to consultations will be discoverable under FOIA, even if respondents ask us to treat responses as confidential. It is therefore important that respondents take account of this. In particular, if asking the Utility Regulator to treat responses as confidential, respondents should specify why they consider the information in question should be treated as such. </w:t>
      </w:r>
    </w:p>
    <w:p w:rsidR="000752C7" w:rsidRPr="000A4E65" w:rsidRDefault="00A26C54" w:rsidP="00AB4DDA">
      <w:pPr>
        <w:pStyle w:val="Default"/>
        <w:tabs>
          <w:tab w:val="left" w:pos="1560"/>
        </w:tabs>
        <w:spacing w:after="196" w:line="276" w:lineRule="auto"/>
        <w:ind w:left="851" w:hanging="851"/>
      </w:pPr>
      <w:r>
        <w:t xml:space="preserve">1.8 </w:t>
      </w:r>
      <w:r w:rsidR="000E5EDC">
        <w:tab/>
      </w:r>
      <w:r w:rsidR="000752C7" w:rsidRPr="000A4E65">
        <w:t xml:space="preserve">The Utility Regulator has published a privacy notice for consumers and stakeholders which sets out the approach to data retention in respect of consultations. This can be found at https://www.uregni.gov.uk/privacy-notice or, alternatively, a copy can be obtained by calling 028 9031 1575 or by email at info@uregni.gov.uk. </w:t>
      </w:r>
    </w:p>
    <w:p w:rsidR="000752C7" w:rsidRPr="000A4E65" w:rsidRDefault="00A26C54" w:rsidP="00AB4DDA">
      <w:pPr>
        <w:pStyle w:val="Default"/>
        <w:spacing w:line="276" w:lineRule="auto"/>
        <w:ind w:left="851" w:hanging="851"/>
      </w:pPr>
      <w:r>
        <w:t xml:space="preserve">1.9 </w:t>
      </w:r>
      <w:r w:rsidR="000E5EDC">
        <w:tab/>
      </w:r>
      <w:r w:rsidR="000752C7" w:rsidRPr="000A4E65">
        <w:t>This paper is available in alternative formats such as audio, Braille etc. If an alternative format is required, please contact the office of the Utility Regulator,</w:t>
      </w:r>
      <w:r w:rsidR="000E5EDC">
        <w:t xml:space="preserve"> </w:t>
      </w:r>
      <w:r w:rsidR="000752C7" w:rsidRPr="000A4E65">
        <w:t xml:space="preserve">which will be happy to assist. </w:t>
      </w:r>
    </w:p>
    <w:p w:rsidR="00250426" w:rsidRDefault="00250426" w:rsidP="00C210D2">
      <w:pPr>
        <w:pStyle w:val="URExecSumparagraph"/>
        <w:rPr>
          <w:b/>
          <w:sz w:val="28"/>
          <w:szCs w:val="28"/>
        </w:rPr>
      </w:pPr>
    </w:p>
    <w:p w:rsidR="00C210D2" w:rsidRPr="004C3020" w:rsidRDefault="00C210D2" w:rsidP="00C210D2">
      <w:pPr>
        <w:pStyle w:val="URExecSumparagraph"/>
        <w:rPr>
          <w:b/>
          <w:sz w:val="28"/>
          <w:szCs w:val="28"/>
        </w:rPr>
      </w:pPr>
      <w:r w:rsidRPr="004C3020">
        <w:rPr>
          <w:b/>
          <w:sz w:val="28"/>
          <w:szCs w:val="28"/>
        </w:rPr>
        <w:t>Equality Considerations</w:t>
      </w:r>
    </w:p>
    <w:p w:rsidR="00C210D2" w:rsidRDefault="00A26C54" w:rsidP="00051FCE">
      <w:pPr>
        <w:pStyle w:val="URExecSumparagraph"/>
        <w:ind w:left="851" w:hanging="851"/>
      </w:pPr>
      <w:r>
        <w:t xml:space="preserve">1.10 </w:t>
      </w:r>
      <w:r w:rsidR="000E5EDC">
        <w:tab/>
      </w:r>
      <w:r w:rsidR="00C210D2">
        <w:t>As a public authority, the Utility Regulator has a number of obligations arising from Section 75 of</w:t>
      </w:r>
      <w:r>
        <w:t xml:space="preserve"> </w:t>
      </w:r>
      <w:r w:rsidR="00C210D2">
        <w:t>the Northern Ireland Act 1998. These obligations concern the promotion of equality of opportunity between:</w:t>
      </w:r>
    </w:p>
    <w:p w:rsidR="00E475AD" w:rsidRDefault="00C210D2" w:rsidP="00AB4DDA">
      <w:pPr>
        <w:pStyle w:val="URExecSumparagraph"/>
        <w:ind w:left="851"/>
      </w:pPr>
      <w:r>
        <w:t>i. persons of different religious belief, political opinion, racial group, age, marital status or sexual orientation;</w:t>
      </w:r>
    </w:p>
    <w:p w:rsidR="00C210D2" w:rsidRDefault="00C210D2" w:rsidP="00AB4DDA">
      <w:pPr>
        <w:pStyle w:val="URExecSumparagraph"/>
        <w:ind w:left="851"/>
      </w:pPr>
      <w:r>
        <w:t>ii. men and women generally;</w:t>
      </w:r>
    </w:p>
    <w:p w:rsidR="00C210D2" w:rsidRDefault="00C210D2" w:rsidP="00AB4DDA">
      <w:pPr>
        <w:pStyle w:val="URExecSumparagraph"/>
        <w:ind w:left="851"/>
      </w:pPr>
      <w:r>
        <w:t>iii. persons with disability and persons without; and</w:t>
      </w:r>
    </w:p>
    <w:p w:rsidR="00C210D2" w:rsidRDefault="00C210D2" w:rsidP="00AB4DDA">
      <w:pPr>
        <w:pStyle w:val="URExecSumparagraph"/>
        <w:ind w:left="851"/>
      </w:pPr>
      <w:r>
        <w:t>iv. persons with dependants and persons without.</w:t>
      </w:r>
    </w:p>
    <w:p w:rsidR="00C210D2" w:rsidRDefault="00A26C54" w:rsidP="00AB4DDA">
      <w:pPr>
        <w:pStyle w:val="URExecSumparagraph"/>
        <w:ind w:left="851" w:hanging="851"/>
      </w:pPr>
      <w:r>
        <w:t xml:space="preserve">1.11 </w:t>
      </w:r>
      <w:r w:rsidR="000E5EDC">
        <w:tab/>
      </w:r>
      <w:r w:rsidR="00C210D2">
        <w:t>The Utility Regulator must also have regard to the promotion of good relations between persons of different religious belief, political opinion or racial groups.</w:t>
      </w:r>
    </w:p>
    <w:p w:rsidR="00C210D2" w:rsidRDefault="00A26C54" w:rsidP="00AB4DDA">
      <w:pPr>
        <w:pStyle w:val="URExecSumparagraph"/>
        <w:tabs>
          <w:tab w:val="left" w:pos="1418"/>
        </w:tabs>
        <w:ind w:left="851" w:hanging="851"/>
      </w:pPr>
      <w:r>
        <w:lastRenderedPageBreak/>
        <w:t xml:space="preserve">1.12 </w:t>
      </w:r>
      <w:r w:rsidR="000E5EDC">
        <w:tab/>
      </w:r>
      <w:r w:rsidR="00C210D2">
        <w:t>In the development of its policies the Utility Regulator also has a statutory duty to have due regard to the needs of vulnerable customers i.e. individuals who are disabled or chronically sick, individuals of pensionable age, individuals with low incomes and individuals residing in rural areas. Some of the above equality categories will therefore overlap with these vulnerable groupings.</w:t>
      </w:r>
    </w:p>
    <w:p w:rsidR="00843A96" w:rsidRDefault="00A26C54" w:rsidP="00AB4DDA">
      <w:pPr>
        <w:pStyle w:val="URExecSumparagraph"/>
        <w:tabs>
          <w:tab w:val="left" w:pos="1418"/>
        </w:tabs>
        <w:ind w:left="851" w:hanging="851"/>
        <w:sectPr w:rsidR="00843A96" w:rsidSect="00883B4B">
          <w:pgSz w:w="11910" w:h="16840"/>
          <w:pgMar w:top="1701" w:right="1440" w:bottom="1134" w:left="1440" w:header="272" w:footer="193" w:gutter="0"/>
          <w:pgNumType w:start="1"/>
          <w:cols w:space="720"/>
        </w:sectPr>
      </w:pPr>
      <w:r>
        <w:t xml:space="preserve">1.13 </w:t>
      </w:r>
      <w:r w:rsidR="000E5EDC">
        <w:tab/>
      </w:r>
      <w:r w:rsidR="00C210D2">
        <w:t>In order to assist with equality screening of the proposals contained within this consultation paper, the Utility Regulator requests that respondents provide any information or evidence in relation to the needs, experiences, issues and priorities for different groups which they feel is relevant to the implementation of any of the proposals. Furthermore, the Utility Regulator welcomes any comments which respondents might have in relation to the overall equality impact of the proposals</w:t>
      </w:r>
    </w:p>
    <w:p w:rsidR="00E475AD" w:rsidRPr="00F27166" w:rsidRDefault="000D20C9" w:rsidP="004C3020">
      <w:pPr>
        <w:pStyle w:val="Heading1"/>
        <w:numPr>
          <w:ilvl w:val="0"/>
          <w:numId w:val="0"/>
        </w:numPr>
      </w:pPr>
      <w:bookmarkStart w:id="7" w:name="_Toc60911990"/>
      <w:bookmarkStart w:id="8" w:name="_Toc503968669"/>
      <w:r>
        <w:lastRenderedPageBreak/>
        <w:t xml:space="preserve">2.  </w:t>
      </w:r>
      <w:r w:rsidR="008D752E">
        <w:tab/>
      </w:r>
      <w:r>
        <w:t xml:space="preserve">Introduction and </w:t>
      </w:r>
      <w:r w:rsidR="00297BA8">
        <w:t>Background</w:t>
      </w:r>
      <w:bookmarkEnd w:id="7"/>
    </w:p>
    <w:p w:rsidR="00216226" w:rsidRDefault="00F23A4C" w:rsidP="004A34EE">
      <w:pPr>
        <w:pStyle w:val="Heading3"/>
        <w:numPr>
          <w:ilvl w:val="1"/>
          <w:numId w:val="15"/>
        </w:numPr>
        <w:ind w:left="851" w:hanging="851"/>
      </w:pPr>
      <w:r w:rsidRPr="004C3020">
        <w:t>The N</w:t>
      </w:r>
      <w:r>
        <w:t>I</w:t>
      </w:r>
      <w:r w:rsidRPr="004C3020">
        <w:t xml:space="preserve"> Department for Economy (DfE)</w:t>
      </w:r>
      <w:r w:rsidR="00C30CD1">
        <w:t xml:space="preserve"> </w:t>
      </w:r>
      <w:r>
        <w:t>launch</w:t>
      </w:r>
      <w:r w:rsidR="00657CD2">
        <w:t>ed a call for evidence</w:t>
      </w:r>
      <w:r w:rsidR="00A63E15">
        <w:t xml:space="preserve"> in December 2019</w:t>
      </w:r>
      <w:r w:rsidR="00657CD2">
        <w:t xml:space="preserve"> to facilitate their development of a new energy strategy</w:t>
      </w:r>
      <w:r>
        <w:t xml:space="preserve"> in 202</w:t>
      </w:r>
      <w:r w:rsidR="00C30CD1">
        <w:t>1</w:t>
      </w:r>
      <w:r w:rsidR="00216226">
        <w:t>. The purpose of this is</w:t>
      </w:r>
      <w:r>
        <w:t xml:space="preserve"> to </w:t>
      </w:r>
      <w:r w:rsidR="00C30CD1">
        <w:t>‘…</w:t>
      </w:r>
      <w:r w:rsidRPr="004A34EE">
        <w:rPr>
          <w:i/>
        </w:rPr>
        <w:t>decarbonise the NI energy sector by 2050 at the least cost to the consumer</w:t>
      </w:r>
      <w:r w:rsidR="00C30CD1">
        <w:rPr>
          <w:i/>
        </w:rPr>
        <w:t>’</w:t>
      </w:r>
      <w:r>
        <w:t>.</w:t>
      </w:r>
    </w:p>
    <w:p w:rsidR="000A0198" w:rsidRDefault="00386F2B" w:rsidP="00AB4DDA">
      <w:pPr>
        <w:pStyle w:val="Heading3"/>
        <w:numPr>
          <w:ilvl w:val="0"/>
          <w:numId w:val="0"/>
        </w:numPr>
        <w:ind w:left="851" w:hanging="851"/>
      </w:pPr>
      <w:r>
        <w:t>2.</w:t>
      </w:r>
      <w:r w:rsidR="00713EA7">
        <w:t>2</w:t>
      </w:r>
      <w:r>
        <w:tab/>
      </w:r>
      <w:r w:rsidR="000A0198">
        <w:t>In order to deliver on the strategy</w:t>
      </w:r>
      <w:r w:rsidR="00657CD2">
        <w:t xml:space="preserve"> a number o</w:t>
      </w:r>
      <w:r w:rsidR="004F5375">
        <w:t>f</w:t>
      </w:r>
      <w:r w:rsidR="00657CD2">
        <w:t xml:space="preserve"> no regret investments are required by </w:t>
      </w:r>
      <w:r w:rsidR="00FC734B">
        <w:t>NIE Networks</w:t>
      </w:r>
      <w:r w:rsidR="000A0198">
        <w:t xml:space="preserve"> to facilitate the introduction of the necessary new technologies to allow this </w:t>
      </w:r>
      <w:r w:rsidR="00657CD2">
        <w:t>strategy to be delivered</w:t>
      </w:r>
      <w:r w:rsidR="000A0198">
        <w:t>.</w:t>
      </w:r>
    </w:p>
    <w:p w:rsidR="000A0198" w:rsidRDefault="00FC734B" w:rsidP="004A34EE">
      <w:pPr>
        <w:pStyle w:val="Heading3"/>
        <w:numPr>
          <w:ilvl w:val="1"/>
          <w:numId w:val="16"/>
        </w:numPr>
        <w:ind w:left="851" w:hanging="851"/>
      </w:pPr>
      <w:r>
        <w:t xml:space="preserve">NIE Networks has </w:t>
      </w:r>
      <w:r w:rsidR="007F34E9">
        <w:t>identified IT</w:t>
      </w:r>
      <w:r w:rsidR="000A0198">
        <w:t xml:space="preserve"> </w:t>
      </w:r>
      <w:r w:rsidR="007F34E9">
        <w:t>expenditure</w:t>
      </w:r>
      <w:r>
        <w:t xml:space="preserve"> not currently allowed for within its current Price Control</w:t>
      </w:r>
      <w:r w:rsidR="007F34E9">
        <w:t xml:space="preserve"> (RP6)</w:t>
      </w:r>
      <w:r>
        <w:t xml:space="preserve"> that will</w:t>
      </w:r>
      <w:r w:rsidR="00A63E15">
        <w:t xml:space="preserve"> </w:t>
      </w:r>
      <w:r w:rsidR="000A0198">
        <w:t xml:space="preserve">assist in </w:t>
      </w:r>
      <w:r>
        <w:t xml:space="preserve">both delivery of any future strategy and </w:t>
      </w:r>
      <w:r w:rsidR="007F34E9">
        <w:t xml:space="preserve">the </w:t>
      </w:r>
      <w:r w:rsidR="000A0198">
        <w:t>achiev</w:t>
      </w:r>
      <w:r w:rsidR="007328AD">
        <w:t>ement of</w:t>
      </w:r>
      <w:r w:rsidR="000A0198">
        <w:t xml:space="preserve"> the strategy</w:t>
      </w:r>
      <w:r w:rsidR="007328AD">
        <w:t>’s</w:t>
      </w:r>
      <w:r w:rsidR="000A0198">
        <w:t xml:space="preserve"> targets</w:t>
      </w:r>
      <w:r w:rsidR="00A02C2A">
        <w:t>. Th</w:t>
      </w:r>
      <w:r w:rsidR="007F34E9">
        <w:t>is</w:t>
      </w:r>
      <w:r w:rsidR="00A02C2A">
        <w:t xml:space="preserve"> include</w:t>
      </w:r>
      <w:r w:rsidR="007F34E9">
        <w:t>s</w:t>
      </w:r>
      <w:r w:rsidR="000A0198">
        <w:t xml:space="preserve"> implement</w:t>
      </w:r>
      <w:r w:rsidR="00A02C2A">
        <w:t>ing</w:t>
      </w:r>
      <w:r w:rsidR="000A0198">
        <w:t xml:space="preserve"> a standalone NI retail market message system</w:t>
      </w:r>
      <w:r w:rsidR="00114CF6">
        <w:t xml:space="preserve"> and </w:t>
      </w:r>
      <w:r w:rsidR="00657CD2">
        <w:t xml:space="preserve">systems </w:t>
      </w:r>
      <w:r w:rsidR="00A418D4">
        <w:t>providing improved</w:t>
      </w:r>
      <w:r w:rsidR="008102BB">
        <w:t xml:space="preserve"> data </w:t>
      </w:r>
      <w:r w:rsidR="00657CD2">
        <w:t>and increased digital</w:t>
      </w:r>
      <w:r w:rsidR="006C0864">
        <w:t>i</w:t>
      </w:r>
      <w:r w:rsidR="00657CD2">
        <w:t>s</w:t>
      </w:r>
      <w:r w:rsidR="006C0864">
        <w:t>a</w:t>
      </w:r>
      <w:r w:rsidR="00657CD2">
        <w:t>tion</w:t>
      </w:r>
      <w:r w:rsidR="008102BB">
        <w:t xml:space="preserve">. </w:t>
      </w:r>
      <w:r w:rsidR="007F34E9">
        <w:t xml:space="preserve"> </w:t>
      </w:r>
    </w:p>
    <w:p w:rsidR="00E8756A" w:rsidRPr="00E8756A" w:rsidRDefault="00E8756A" w:rsidP="00E8756A">
      <w:pPr>
        <w:widowControl/>
        <w:adjustRightInd w:val="0"/>
        <w:rPr>
          <w:rFonts w:eastAsiaTheme="minorHAnsi"/>
          <w:color w:val="000000"/>
          <w:sz w:val="24"/>
          <w:szCs w:val="24"/>
          <w:lang w:eastAsia="en-US" w:bidi="ar-SA"/>
        </w:rPr>
      </w:pPr>
    </w:p>
    <w:p w:rsidR="002F3C51" w:rsidRDefault="002F3C51">
      <w:pPr>
        <w:rPr>
          <w:b/>
          <w:sz w:val="40"/>
          <w:szCs w:val="40"/>
        </w:rPr>
      </w:pPr>
      <w:r>
        <w:br w:type="page"/>
      </w:r>
    </w:p>
    <w:p w:rsidR="00F27166" w:rsidRDefault="000D20C9" w:rsidP="004C3020">
      <w:pPr>
        <w:pStyle w:val="Heading1"/>
        <w:numPr>
          <w:ilvl w:val="0"/>
          <w:numId w:val="0"/>
        </w:numPr>
      </w:pPr>
      <w:bookmarkStart w:id="9" w:name="_Toc60911991"/>
      <w:r>
        <w:lastRenderedPageBreak/>
        <w:t xml:space="preserve">3. </w:t>
      </w:r>
      <w:r w:rsidR="008D752E">
        <w:tab/>
      </w:r>
      <w:r w:rsidR="000752C7">
        <w:t>Licence Modification and RP6</w:t>
      </w:r>
      <w:bookmarkEnd w:id="9"/>
    </w:p>
    <w:p w:rsidR="00F27166" w:rsidRDefault="009A7A90" w:rsidP="00C845B1">
      <w:pPr>
        <w:pStyle w:val="Heading2"/>
        <w:numPr>
          <w:ilvl w:val="0"/>
          <w:numId w:val="0"/>
        </w:numPr>
      </w:pPr>
      <w:bookmarkStart w:id="10" w:name="_Toc60911992"/>
      <w:r>
        <w:t>RP6.</w:t>
      </w:r>
      <w:bookmarkEnd w:id="10"/>
    </w:p>
    <w:p w:rsidR="009A7A90" w:rsidRDefault="00104768" w:rsidP="004C3020">
      <w:pPr>
        <w:pStyle w:val="Heading3"/>
        <w:numPr>
          <w:ilvl w:val="1"/>
          <w:numId w:val="11"/>
        </w:numPr>
        <w:ind w:left="851" w:hanging="851"/>
      </w:pPr>
      <w:hyperlink r:id="rId20" w:history="1">
        <w:r w:rsidR="003B7449" w:rsidRPr="003B7449">
          <w:rPr>
            <w:rStyle w:val="Hyperlink"/>
          </w:rPr>
          <w:t>RP6</w:t>
        </w:r>
      </w:hyperlink>
      <w:r w:rsidR="003B7449">
        <w:t xml:space="preserve"> is the name given to the NIE</w:t>
      </w:r>
      <w:r w:rsidR="008E0B2B">
        <w:t xml:space="preserve"> </w:t>
      </w:r>
      <w:r w:rsidR="003B7449">
        <w:t>N</w:t>
      </w:r>
      <w:r w:rsidR="008E0B2B">
        <w:t>etworks</w:t>
      </w:r>
      <w:r w:rsidR="003B7449">
        <w:t xml:space="preserve"> Transmission and Distribution 6</w:t>
      </w:r>
      <w:r w:rsidR="003B7449" w:rsidRPr="003B7449">
        <w:rPr>
          <w:vertAlign w:val="superscript"/>
        </w:rPr>
        <w:t>th</w:t>
      </w:r>
      <w:r w:rsidR="003B7449">
        <w:t xml:space="preserve"> Price Control which came into effect on 1 O</w:t>
      </w:r>
      <w:r w:rsidR="00CA533E">
        <w:t>ctober 2017 and will run until</w:t>
      </w:r>
      <w:r w:rsidR="003B7449">
        <w:t xml:space="preserve"> 31 March 2024.</w:t>
      </w:r>
    </w:p>
    <w:p w:rsidR="003B7449" w:rsidRDefault="003B7449" w:rsidP="00223E1E">
      <w:pPr>
        <w:pStyle w:val="Heading3"/>
        <w:numPr>
          <w:ilvl w:val="1"/>
          <w:numId w:val="11"/>
        </w:numPr>
        <w:ind w:left="851" w:hanging="851"/>
      </w:pPr>
      <w:r>
        <w:t>The purpose of the price control is to determine and set an efficient revenue cap to enable NIE Networks to deliver quality outputs that customers need</w:t>
      </w:r>
      <w:r w:rsidR="007328AD">
        <w:t>,</w:t>
      </w:r>
      <w:r>
        <w:t xml:space="preserve"> with</w:t>
      </w:r>
      <w:r w:rsidRPr="003B7449">
        <w:t xml:space="preserve"> </w:t>
      </w:r>
      <w:r>
        <w:t>RP6 investment decisions expected to underpin improvements in service delivery for consumers.</w:t>
      </w:r>
    </w:p>
    <w:p w:rsidR="003B7449" w:rsidRDefault="004C3020" w:rsidP="004C3020">
      <w:pPr>
        <w:pStyle w:val="Heading3"/>
        <w:numPr>
          <w:ilvl w:val="0"/>
          <w:numId w:val="0"/>
        </w:numPr>
        <w:tabs>
          <w:tab w:val="left" w:pos="567"/>
        </w:tabs>
        <w:ind w:left="851" w:hanging="851"/>
      </w:pPr>
      <w:r>
        <w:t xml:space="preserve">3.3 </w:t>
      </w:r>
      <w:r>
        <w:tab/>
      </w:r>
      <w:r>
        <w:tab/>
      </w:r>
      <w:r w:rsidR="00B74AD2">
        <w:t xml:space="preserve">RP6 sets out the amount that NIE Networks is allowed to build, operate and maintain its transmission and distribution electricity network. It includes both capital and operational expenditure across all facets of </w:t>
      </w:r>
      <w:r w:rsidR="008E0B2B">
        <w:t>NIE N</w:t>
      </w:r>
      <w:r w:rsidR="005A6650">
        <w:t>etworks</w:t>
      </w:r>
      <w:r w:rsidR="00B74AD2">
        <w:t xml:space="preserve"> operation including expenditure on IT.</w:t>
      </w:r>
    </w:p>
    <w:p w:rsidR="00181E5F" w:rsidRDefault="004C3020" w:rsidP="004C3020">
      <w:pPr>
        <w:pStyle w:val="Heading3"/>
        <w:numPr>
          <w:ilvl w:val="0"/>
          <w:numId w:val="0"/>
        </w:numPr>
        <w:ind w:left="851" w:hanging="851"/>
      </w:pPr>
      <w:r>
        <w:t xml:space="preserve">3.4 </w:t>
      </w:r>
      <w:r>
        <w:tab/>
      </w:r>
      <w:r w:rsidR="00B62A84">
        <w:t>Since the submission of the NIE Networks RP6 business plan and the UR decision on the R</w:t>
      </w:r>
      <w:r w:rsidR="007F34E9">
        <w:t>P</w:t>
      </w:r>
      <w:r w:rsidR="00B62A84">
        <w:t>6</w:t>
      </w:r>
      <w:r w:rsidR="00E94A57">
        <w:t>,</w:t>
      </w:r>
      <w:r w:rsidR="007F34E9">
        <w:t xml:space="preserve"> a need for further investment by NIE Networks</w:t>
      </w:r>
      <w:r w:rsidR="00B62A84">
        <w:t xml:space="preserve"> to facilitate </w:t>
      </w:r>
      <w:r w:rsidR="007F34E9">
        <w:t xml:space="preserve">the delivery of the future NI </w:t>
      </w:r>
      <w:r w:rsidR="007328AD">
        <w:t>e</w:t>
      </w:r>
      <w:r w:rsidR="007F34E9">
        <w:t>nergy strategy ha</w:t>
      </w:r>
      <w:r w:rsidR="007328AD">
        <w:t>s</w:t>
      </w:r>
      <w:r w:rsidR="007F34E9">
        <w:t xml:space="preserve"> emerged.</w:t>
      </w:r>
      <w:r w:rsidR="00B62A84">
        <w:t xml:space="preserve"> </w:t>
      </w:r>
      <w:r w:rsidR="00181E5F">
        <w:t xml:space="preserve">To enable </w:t>
      </w:r>
      <w:r w:rsidR="007F34E9">
        <w:t>the UR to approve these costs</w:t>
      </w:r>
      <w:r w:rsidR="00E94A57">
        <w:t>,</w:t>
      </w:r>
      <w:r w:rsidR="00181E5F">
        <w:t xml:space="preserve"> </w:t>
      </w:r>
      <w:r w:rsidR="00B62A84">
        <w:t xml:space="preserve">further </w:t>
      </w:r>
      <w:r w:rsidR="00181E5F">
        <w:t>licence modification</w:t>
      </w:r>
      <w:r w:rsidR="00B62A84">
        <w:t>s</w:t>
      </w:r>
      <w:r w:rsidR="00181E5F">
        <w:t xml:space="preserve"> of the </w:t>
      </w:r>
      <w:r w:rsidR="008E0B2B">
        <w:t>NIE Networks</w:t>
      </w:r>
      <w:r w:rsidR="00181E5F">
        <w:t xml:space="preserve"> </w:t>
      </w:r>
      <w:r w:rsidR="001F624B">
        <w:t>D</w:t>
      </w:r>
      <w:r w:rsidR="00181E5F">
        <w:t>istribution</w:t>
      </w:r>
      <w:r w:rsidR="001F624B">
        <w:t xml:space="preserve"> and Transmission</w:t>
      </w:r>
      <w:r w:rsidR="00181E5F">
        <w:t xml:space="preserve"> licence</w:t>
      </w:r>
      <w:r w:rsidR="001F624B">
        <w:t>s are</w:t>
      </w:r>
      <w:r w:rsidR="00E60736">
        <w:t xml:space="preserve"> </w:t>
      </w:r>
      <w:r w:rsidR="00181E5F">
        <w:t>required</w:t>
      </w:r>
      <w:r w:rsidR="001A028D">
        <w:t>.</w:t>
      </w:r>
    </w:p>
    <w:p w:rsidR="00635EAC" w:rsidRDefault="00635EAC" w:rsidP="004C3020">
      <w:pPr>
        <w:pStyle w:val="Heading3"/>
        <w:numPr>
          <w:ilvl w:val="0"/>
          <w:numId w:val="0"/>
        </w:numPr>
        <w:ind w:left="851" w:hanging="851"/>
      </w:pPr>
      <w:r>
        <w:t>3.5</w:t>
      </w:r>
      <w:r>
        <w:tab/>
        <w:t xml:space="preserve">These new proposed licence conditions are to address the need to approve monies within the RP6 period only. Consideration will be given to them being removed as part of the licence modifications for the next price control period. </w:t>
      </w:r>
    </w:p>
    <w:p w:rsidR="00E60736" w:rsidRDefault="008E0B2B" w:rsidP="00C845B1">
      <w:pPr>
        <w:pStyle w:val="Heading2"/>
        <w:numPr>
          <w:ilvl w:val="0"/>
          <w:numId w:val="0"/>
        </w:numPr>
        <w:tabs>
          <w:tab w:val="left" w:pos="851"/>
        </w:tabs>
      </w:pPr>
      <w:bookmarkStart w:id="11" w:name="_Toc60911993"/>
      <w:r>
        <w:t>NIE Networks</w:t>
      </w:r>
      <w:r w:rsidR="00E60736">
        <w:t xml:space="preserve"> Licences</w:t>
      </w:r>
      <w:bookmarkEnd w:id="11"/>
    </w:p>
    <w:p w:rsidR="00E60736" w:rsidRDefault="004C3020" w:rsidP="004C3020">
      <w:pPr>
        <w:pStyle w:val="Heading3"/>
        <w:numPr>
          <w:ilvl w:val="0"/>
          <w:numId w:val="0"/>
        </w:numPr>
        <w:tabs>
          <w:tab w:val="left" w:pos="426"/>
        </w:tabs>
        <w:ind w:left="851" w:hanging="851"/>
      </w:pPr>
      <w:r>
        <w:t>3.</w:t>
      </w:r>
      <w:r w:rsidR="00897266">
        <w:t>6</w:t>
      </w:r>
      <w:r>
        <w:t xml:space="preserve"> </w:t>
      </w:r>
      <w:r>
        <w:tab/>
      </w:r>
      <w:r>
        <w:tab/>
      </w:r>
      <w:r w:rsidR="00B0096E">
        <w:t>The UR</w:t>
      </w:r>
      <w:r w:rsidR="00E52221">
        <w:t xml:space="preserve"> grants</w:t>
      </w:r>
      <w:r w:rsidR="00B0096E" w:rsidRPr="00B0096E">
        <w:t xml:space="preserve"> licences, subject to the satisfaction of certain criteria, to those who wish to engage in electricity generation or supply.</w:t>
      </w:r>
      <w:r w:rsidR="00B0096E">
        <w:t xml:space="preserve"> These licences are issued</w:t>
      </w:r>
      <w:r w:rsidR="0027005D">
        <w:t xml:space="preserve"> and maintained</w:t>
      </w:r>
      <w:r w:rsidR="00B0096E">
        <w:t xml:space="preserve"> under legislative provision conferred by Articles 10, 11</w:t>
      </w:r>
      <w:r w:rsidR="0027005D">
        <w:t>, 12</w:t>
      </w:r>
      <w:r w:rsidR="00B0096E">
        <w:t xml:space="preserve"> and 13</w:t>
      </w:r>
      <w:r w:rsidR="00E52221">
        <w:t xml:space="preserve"> of </w:t>
      </w:r>
      <w:hyperlink r:id="rId21" w:history="1">
        <w:r w:rsidR="00E52221" w:rsidRPr="007626AD">
          <w:rPr>
            <w:rStyle w:val="Hyperlink"/>
          </w:rPr>
          <w:t>The Electricity (Northern Ireland) Order 1992</w:t>
        </w:r>
      </w:hyperlink>
      <w:r w:rsidR="00E52221">
        <w:t>.</w:t>
      </w:r>
    </w:p>
    <w:p w:rsidR="00F31236" w:rsidRDefault="008E0B2B" w:rsidP="00897266">
      <w:pPr>
        <w:pStyle w:val="Heading3"/>
        <w:numPr>
          <w:ilvl w:val="1"/>
          <w:numId w:val="13"/>
        </w:numPr>
        <w:ind w:left="851" w:hanging="851"/>
      </w:pPr>
      <w:r>
        <w:t>NIE N</w:t>
      </w:r>
      <w:r w:rsidR="005A6650">
        <w:t>etworks</w:t>
      </w:r>
      <w:r w:rsidR="00B0096E">
        <w:t xml:space="preserve"> hold both a </w:t>
      </w:r>
      <w:hyperlink r:id="rId22" w:history="1">
        <w:r w:rsidR="00B0096E" w:rsidRPr="0058173D">
          <w:rPr>
            <w:rStyle w:val="Hyperlink"/>
          </w:rPr>
          <w:t>Transmission</w:t>
        </w:r>
      </w:hyperlink>
      <w:r w:rsidR="00B0096E">
        <w:t xml:space="preserve"> and </w:t>
      </w:r>
      <w:hyperlink r:id="rId23" w:history="1">
        <w:r w:rsidR="00B0096E" w:rsidRPr="007626AD">
          <w:rPr>
            <w:rStyle w:val="Hyperlink"/>
          </w:rPr>
          <w:t>Distribution</w:t>
        </w:r>
      </w:hyperlink>
      <w:r w:rsidR="00B0096E">
        <w:t xml:space="preserve"> licence</w:t>
      </w:r>
      <w:r w:rsidR="00E52221">
        <w:t xml:space="preserve"> under the Order</w:t>
      </w:r>
      <w:r w:rsidR="00B0096E">
        <w:t>.</w:t>
      </w:r>
    </w:p>
    <w:p w:rsidR="00C210D2" w:rsidRDefault="00C210D2" w:rsidP="004C3020">
      <w:pPr>
        <w:pStyle w:val="Heading3"/>
        <w:numPr>
          <w:ilvl w:val="0"/>
          <w:numId w:val="0"/>
        </w:numPr>
        <w:ind w:left="851"/>
        <w:rPr>
          <w:b/>
          <w:sz w:val="28"/>
          <w:szCs w:val="28"/>
        </w:rPr>
      </w:pPr>
      <w:r w:rsidRPr="004C3020">
        <w:rPr>
          <w:b/>
          <w:sz w:val="28"/>
          <w:szCs w:val="28"/>
        </w:rPr>
        <w:t xml:space="preserve">Proposed </w:t>
      </w:r>
      <w:r w:rsidR="0058173D">
        <w:rPr>
          <w:b/>
          <w:sz w:val="28"/>
          <w:szCs w:val="28"/>
        </w:rPr>
        <w:t xml:space="preserve">Distribution </w:t>
      </w:r>
      <w:r w:rsidRPr="004C3020">
        <w:rPr>
          <w:b/>
          <w:sz w:val="28"/>
          <w:szCs w:val="28"/>
        </w:rPr>
        <w:t>Licence Modifications</w:t>
      </w:r>
    </w:p>
    <w:p w:rsidR="00F31236" w:rsidRDefault="004C3020" w:rsidP="004C3020">
      <w:pPr>
        <w:pStyle w:val="Heading3"/>
        <w:numPr>
          <w:ilvl w:val="0"/>
          <w:numId w:val="0"/>
        </w:numPr>
        <w:ind w:left="851" w:hanging="851"/>
      </w:pPr>
      <w:r>
        <w:t>3</w:t>
      </w:r>
      <w:r w:rsidR="00F31236" w:rsidRPr="004C3020">
        <w:t>.</w:t>
      </w:r>
      <w:r w:rsidR="00897266">
        <w:t>8</w:t>
      </w:r>
      <w:r w:rsidR="00F31236" w:rsidRPr="004C3020">
        <w:t xml:space="preserve"> </w:t>
      </w:r>
      <w:r w:rsidR="00F31236">
        <w:tab/>
        <w:t xml:space="preserve">In </w:t>
      </w:r>
      <w:r w:rsidR="00A418D4">
        <w:t>order to</w:t>
      </w:r>
      <w:r w:rsidR="00A719B9">
        <w:t xml:space="preserve"> provide NIE Networks with a mechanism</w:t>
      </w:r>
      <w:r w:rsidR="00F31236">
        <w:t xml:space="preserve"> to recoup deemed efficient</w:t>
      </w:r>
      <w:r w:rsidR="00491BC6">
        <w:t xml:space="preserve"> </w:t>
      </w:r>
      <w:r w:rsidR="007328AD">
        <w:t>e</w:t>
      </w:r>
      <w:r w:rsidR="00491BC6">
        <w:t xml:space="preserve">nergy </w:t>
      </w:r>
      <w:r w:rsidR="007328AD">
        <w:t xml:space="preserve">strategy </w:t>
      </w:r>
      <w:r w:rsidR="00F31236">
        <w:t>costs via RP6, we propose to introduce the following modification</w:t>
      </w:r>
      <w:r w:rsidR="00EE69F0">
        <w:t>s</w:t>
      </w:r>
      <w:r w:rsidR="00491BC6" w:rsidRPr="00491BC6">
        <w:t xml:space="preserve"> within</w:t>
      </w:r>
      <w:r w:rsidR="005533FA">
        <w:t xml:space="preserve"> Annex 2 of</w:t>
      </w:r>
      <w:r w:rsidR="00491BC6" w:rsidRPr="00491BC6">
        <w:t xml:space="preserve"> </w:t>
      </w:r>
      <w:r w:rsidR="00553B1F">
        <w:t>NIE Network</w:t>
      </w:r>
      <w:r w:rsidR="00491BC6" w:rsidRPr="00491BC6">
        <w:t>’s Distribution</w:t>
      </w:r>
      <w:r w:rsidR="00EB6824">
        <w:t xml:space="preserve"> </w:t>
      </w:r>
      <w:r w:rsidR="00491BC6" w:rsidRPr="00491BC6">
        <w:t>licence</w:t>
      </w:r>
      <w:r w:rsidR="005533FA">
        <w:t>:</w:t>
      </w:r>
      <w:r w:rsidR="00491BC6">
        <w:t xml:space="preserve"> </w:t>
      </w:r>
    </w:p>
    <w:p w:rsidR="00897266" w:rsidRDefault="00897266" w:rsidP="004A34EE">
      <w:pPr>
        <w:widowControl/>
        <w:autoSpaceDE/>
        <w:autoSpaceDN/>
        <w:spacing w:after="160" w:line="256" w:lineRule="auto"/>
        <w:ind w:left="709" w:firstLine="142"/>
        <w:rPr>
          <w:rFonts w:eastAsia="Calibri"/>
          <w:b/>
          <w:sz w:val="24"/>
          <w:szCs w:val="24"/>
          <w:lang w:eastAsia="en-US" w:bidi="ar-SA"/>
        </w:rPr>
      </w:pPr>
    </w:p>
    <w:p w:rsidR="00A77301" w:rsidRPr="000F5377" w:rsidRDefault="00A77301" w:rsidP="004A34EE">
      <w:pPr>
        <w:widowControl/>
        <w:autoSpaceDE/>
        <w:autoSpaceDN/>
        <w:spacing w:after="160" w:line="256" w:lineRule="auto"/>
        <w:ind w:left="709" w:firstLine="142"/>
        <w:rPr>
          <w:rFonts w:eastAsia="Calibri"/>
          <w:b/>
          <w:sz w:val="24"/>
          <w:szCs w:val="24"/>
          <w:lang w:eastAsia="en-US" w:bidi="ar-SA"/>
        </w:rPr>
      </w:pPr>
      <w:r w:rsidRPr="000F5377">
        <w:rPr>
          <w:rFonts w:eastAsia="Calibri"/>
          <w:b/>
          <w:sz w:val="24"/>
          <w:szCs w:val="24"/>
          <w:lang w:eastAsia="en-US" w:bidi="ar-SA"/>
        </w:rPr>
        <w:lastRenderedPageBreak/>
        <w:t>Definitions</w:t>
      </w:r>
    </w:p>
    <w:p w:rsidR="00A77301" w:rsidRPr="000F5377" w:rsidRDefault="00A77301" w:rsidP="004A34EE">
      <w:pPr>
        <w:widowControl/>
        <w:autoSpaceDE/>
        <w:autoSpaceDN/>
        <w:spacing w:after="160" w:line="276" w:lineRule="auto"/>
        <w:ind w:left="709" w:firstLine="142"/>
        <w:rPr>
          <w:rFonts w:eastAsia="Calibri"/>
          <w:sz w:val="24"/>
          <w:szCs w:val="24"/>
          <w:lang w:eastAsia="en-US" w:bidi="ar-SA"/>
        </w:rPr>
      </w:pPr>
      <w:r w:rsidRPr="000F5377">
        <w:rPr>
          <w:rFonts w:eastAsia="Calibri"/>
          <w:sz w:val="24"/>
          <w:szCs w:val="24"/>
          <w:lang w:eastAsia="en-US" w:bidi="ar-SA"/>
        </w:rPr>
        <w:t>A new definition should be added at paragraph 1.1 of Annex 2.</w:t>
      </w:r>
    </w:p>
    <w:p w:rsidR="003F7706" w:rsidRPr="004A34EE" w:rsidRDefault="003F7706" w:rsidP="003F7706">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“New Energy Strategy IT Solution” means a new information technology system that is required by the Licensee's Distribution Business for the purposes of implementing any new energy policy which:</w:t>
      </w:r>
    </w:p>
    <w:p w:rsidR="003F7706" w:rsidRPr="004A34EE" w:rsidRDefault="003F7706" w:rsidP="002A02E7">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(a)</w:t>
      </w:r>
      <w:r w:rsidRPr="004A34EE">
        <w:rPr>
          <w:rFonts w:eastAsia="Calibri"/>
          <w:sz w:val="24"/>
          <w:szCs w:val="24"/>
          <w:lang w:eastAsia="en-US" w:bidi="ar-SA"/>
        </w:rPr>
        <w:tab/>
        <w:t xml:space="preserve"> is introduced</w:t>
      </w:r>
      <w:r w:rsidRPr="002A02E7">
        <w:rPr>
          <w:rFonts w:eastAsia="Calibri"/>
          <w:sz w:val="24"/>
          <w:szCs w:val="24"/>
          <w:lang w:eastAsia="en-US" w:bidi="ar-SA"/>
        </w:rPr>
        <w:t xml:space="preserve"> by a competent authority; and </w:t>
      </w:r>
    </w:p>
    <w:p w:rsidR="003F7706" w:rsidRPr="004A34EE" w:rsidRDefault="003F7706" w:rsidP="004A34EE">
      <w:pPr>
        <w:widowControl/>
        <w:autoSpaceDE/>
        <w:autoSpaceDN/>
        <w:spacing w:after="160" w:line="276" w:lineRule="auto"/>
        <w:ind w:left="851"/>
        <w:rPr>
          <w:rFonts w:eastAsia="Calibri"/>
          <w:lang w:eastAsia="en-US" w:bidi="ar-SA"/>
        </w:rPr>
      </w:pPr>
      <w:r w:rsidRPr="004A34EE">
        <w:rPr>
          <w:rFonts w:eastAsia="Calibri"/>
          <w:sz w:val="24"/>
          <w:szCs w:val="24"/>
          <w:lang w:eastAsia="en-US" w:bidi="ar-SA"/>
        </w:rPr>
        <w:t>(b)</w:t>
      </w:r>
      <w:r w:rsidRPr="004A34EE">
        <w:rPr>
          <w:rFonts w:eastAsia="Calibri"/>
          <w:sz w:val="24"/>
          <w:szCs w:val="24"/>
          <w:lang w:eastAsia="en-US" w:bidi="ar-SA"/>
        </w:rPr>
        <w:tab/>
        <w:t>requires a change to be made to the specification of services provided by the Licensee's Distribution Business.</w:t>
      </w:r>
    </w:p>
    <w:p w:rsidR="00EE69F0" w:rsidRDefault="00491BC6" w:rsidP="004A34EE">
      <w:pPr>
        <w:spacing w:line="276" w:lineRule="auto"/>
        <w:rPr>
          <w:rFonts w:eastAsia="Calibri"/>
          <w:b/>
          <w:sz w:val="24"/>
          <w:szCs w:val="24"/>
          <w:lang w:eastAsia="en-US" w:bidi="ar-SA"/>
        </w:rPr>
      </w:pPr>
      <w:r>
        <w:tab/>
      </w:r>
      <w:r w:rsidR="00A77301">
        <w:t xml:space="preserve">  </w:t>
      </w:r>
      <w:r w:rsidR="00EE69F0" w:rsidRPr="004A34EE">
        <w:rPr>
          <w:rFonts w:eastAsia="Calibri"/>
          <w:b/>
          <w:sz w:val="24"/>
          <w:szCs w:val="24"/>
          <w:lang w:eastAsia="en-US" w:bidi="ar-SA"/>
        </w:rPr>
        <w:t>Capex Expenditure</w:t>
      </w:r>
    </w:p>
    <w:p w:rsidR="005105DE" w:rsidRDefault="005105DE" w:rsidP="004A34EE">
      <w:pPr>
        <w:spacing w:line="276" w:lineRule="auto"/>
        <w:rPr>
          <w:rFonts w:eastAsia="Calibri"/>
          <w:b/>
          <w:sz w:val="24"/>
          <w:szCs w:val="24"/>
          <w:lang w:eastAsia="en-US" w:bidi="ar-SA"/>
        </w:rPr>
      </w:pPr>
    </w:p>
    <w:p w:rsidR="005105DE" w:rsidRPr="004A34EE" w:rsidRDefault="005105DE" w:rsidP="004A34EE">
      <w:pPr>
        <w:ind w:left="851"/>
        <w:rPr>
          <w:rFonts w:eastAsia="Calibri"/>
          <w:sz w:val="24"/>
          <w:szCs w:val="24"/>
          <w:lang w:eastAsia="en-US" w:bidi="ar-SA"/>
        </w:rPr>
      </w:pPr>
      <w:r w:rsidRPr="004A34EE">
        <w:rPr>
          <w:rFonts w:eastAsia="Calibri"/>
          <w:sz w:val="24"/>
          <w:szCs w:val="24"/>
          <w:lang w:eastAsia="en-US" w:bidi="ar-SA"/>
        </w:rPr>
        <w:t>Modification of condition 4.32 (</w:t>
      </w:r>
      <w:r w:rsidRPr="004A34EE">
        <w:rPr>
          <w:rFonts w:eastAsia="Calibri"/>
          <w:b/>
          <w:sz w:val="24"/>
          <w:szCs w:val="24"/>
          <w:lang w:eastAsia="en-US" w:bidi="ar-SA"/>
        </w:rPr>
        <w:t>Allowed capex for 5 year D.RAB – AC_D5Y</w:t>
      </w:r>
      <w:r w:rsidRPr="004A34EE">
        <w:rPr>
          <w:rFonts w:eastAsia="Calibri"/>
          <w:b/>
          <w:sz w:val="24"/>
          <w:szCs w:val="24"/>
          <w:vertAlign w:val="subscript"/>
          <w:lang w:eastAsia="en-US" w:bidi="ar-SA"/>
        </w:rPr>
        <w:t>t</w:t>
      </w:r>
      <w:r w:rsidRPr="004A34EE">
        <w:rPr>
          <w:rFonts w:eastAsia="Calibri"/>
          <w:sz w:val="24"/>
          <w:szCs w:val="24"/>
          <w:lang w:eastAsia="en-US" w:bidi="ar-SA"/>
        </w:rPr>
        <w:t>)</w:t>
      </w:r>
    </w:p>
    <w:p w:rsidR="00177DC5" w:rsidRPr="004A34EE" w:rsidRDefault="00177DC5" w:rsidP="00A77301">
      <w:pPr>
        <w:ind w:left="851"/>
        <w:rPr>
          <w:rFonts w:eastAsia="Calibri"/>
          <w:sz w:val="24"/>
          <w:szCs w:val="24"/>
          <w:lang w:eastAsia="en-US" w:bidi="ar-SA"/>
        </w:rPr>
      </w:pPr>
    </w:p>
    <w:p w:rsidR="003F7706" w:rsidRPr="003F7706" w:rsidRDefault="003F7706" w:rsidP="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For the purposes of this Annex, in each Regulatory Reporting Year t, and for RAB_D5Y the allowed capex (AC_Xt) amounts shall be calculated as follows:</w:t>
      </w:r>
    </w:p>
    <w:p w:rsidR="003F7706" w:rsidRPr="003F7706" w:rsidRDefault="003F7706" w:rsidP="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AC_D5Y</w:t>
      </w:r>
      <w:r w:rsidRPr="004A34EE">
        <w:rPr>
          <w:rFonts w:eastAsia="Calibri"/>
          <w:sz w:val="24"/>
          <w:szCs w:val="24"/>
          <w:vertAlign w:val="subscript"/>
          <w:lang w:eastAsia="en-US" w:bidi="ar-SA"/>
        </w:rPr>
        <w:t>t</w:t>
      </w:r>
      <w:r w:rsidRPr="003F7706">
        <w:rPr>
          <w:rFonts w:eastAsia="Calibri"/>
          <w:sz w:val="24"/>
          <w:szCs w:val="24"/>
          <w:lang w:eastAsia="en-US" w:bidi="ar-SA"/>
        </w:rPr>
        <w:t xml:space="preserve"> = (AC_2016_X</w:t>
      </w:r>
      <w:r w:rsidRPr="004A34EE">
        <w:rPr>
          <w:rFonts w:eastAsia="Calibri"/>
          <w:sz w:val="24"/>
          <w:szCs w:val="24"/>
          <w:vertAlign w:val="subscript"/>
          <w:lang w:eastAsia="en-US" w:bidi="ar-SA"/>
        </w:rPr>
        <w:t>t</w:t>
      </w:r>
      <w:r w:rsidRPr="003F7706">
        <w:rPr>
          <w:rFonts w:eastAsia="Calibri"/>
          <w:sz w:val="24"/>
          <w:szCs w:val="24"/>
          <w:lang w:eastAsia="en-US" w:bidi="ar-SA"/>
        </w:rPr>
        <w:t xml:space="preserve"> * RPI</w:t>
      </w:r>
      <w:r w:rsidRPr="004A34EE">
        <w:rPr>
          <w:rFonts w:eastAsia="Calibri"/>
          <w:sz w:val="24"/>
          <w:szCs w:val="24"/>
          <w:vertAlign w:val="subscript"/>
          <w:lang w:eastAsia="en-US" w:bidi="ar-SA"/>
        </w:rPr>
        <w:t>t</w:t>
      </w:r>
      <w:r w:rsidRPr="003F7706">
        <w:rPr>
          <w:rFonts w:eastAsia="Calibri"/>
          <w:sz w:val="24"/>
          <w:szCs w:val="24"/>
          <w:lang w:eastAsia="en-US" w:bidi="ar-SA"/>
        </w:rPr>
        <w:t xml:space="preserve"> / RPI2016 ) + ACNES_X</w:t>
      </w:r>
      <w:r w:rsidRPr="004A34EE">
        <w:rPr>
          <w:rFonts w:eastAsia="Calibri"/>
          <w:sz w:val="24"/>
          <w:szCs w:val="24"/>
          <w:vertAlign w:val="subscript"/>
          <w:lang w:eastAsia="en-US" w:bidi="ar-SA"/>
        </w:rPr>
        <w:t>t</w:t>
      </w:r>
      <w:r w:rsidRPr="003F7706">
        <w:rPr>
          <w:rFonts w:eastAsia="Calibri"/>
          <w:sz w:val="24"/>
          <w:szCs w:val="24"/>
          <w:lang w:eastAsia="en-US" w:bidi="ar-SA"/>
        </w:rPr>
        <w:t xml:space="preserve"> </w:t>
      </w:r>
    </w:p>
    <w:p w:rsidR="003F7706" w:rsidRPr="003F7706" w:rsidRDefault="003F7706" w:rsidP="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Where:</w:t>
      </w:r>
    </w:p>
    <w:p w:rsidR="003F7706" w:rsidRPr="003F7706" w:rsidRDefault="003F7706" w:rsidP="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AC_2016_X</w:t>
      </w:r>
      <w:r w:rsidRPr="004A34EE">
        <w:rPr>
          <w:rFonts w:eastAsia="Calibri"/>
          <w:sz w:val="24"/>
          <w:szCs w:val="24"/>
          <w:vertAlign w:val="subscript"/>
          <w:lang w:eastAsia="en-US" w:bidi="ar-SA"/>
        </w:rPr>
        <w:t>t</w:t>
      </w:r>
      <w:r w:rsidRPr="003F7706">
        <w:rPr>
          <w:rFonts w:eastAsia="Calibri"/>
          <w:sz w:val="24"/>
          <w:szCs w:val="24"/>
          <w:lang w:eastAsia="en-US" w:bidi="ar-SA"/>
        </w:rPr>
        <w:t xml:space="preserve"> is the allowed capex amount, in a 2016 price base, for RAB_D5Y for each Regulatory Reporting Year t, and shall be equal to the amounts specified in Table 3 below.</w:t>
      </w:r>
    </w:p>
    <w:p w:rsidR="003F7706" w:rsidRPr="003F7706" w:rsidRDefault="003F7706" w:rsidP="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ACNES_X</w:t>
      </w:r>
      <w:r w:rsidRPr="004A34EE">
        <w:rPr>
          <w:rFonts w:eastAsia="Calibri"/>
          <w:sz w:val="24"/>
          <w:szCs w:val="24"/>
          <w:vertAlign w:val="subscript"/>
          <w:lang w:eastAsia="en-US" w:bidi="ar-SA"/>
        </w:rPr>
        <w:t>t</w:t>
      </w:r>
      <w:r w:rsidRPr="003F7706">
        <w:rPr>
          <w:rFonts w:eastAsia="Calibri"/>
          <w:sz w:val="24"/>
          <w:szCs w:val="24"/>
          <w:lang w:eastAsia="en-US" w:bidi="ar-SA"/>
        </w:rPr>
        <w:t xml:space="preserve"> is the allowed capex amount (if any) for RAB_D5Y  in respect of any Regulatory Reporting Year t specified in Table 3 below, being an amount  the Authority determines in a published decision to be appropriate for the Licensee to recover in respect of:</w:t>
      </w:r>
    </w:p>
    <w:p w:rsidR="003F7706" w:rsidRPr="003F7706" w:rsidRDefault="003F7706">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(a)</w:t>
      </w:r>
      <w:r w:rsidRPr="003F7706">
        <w:rPr>
          <w:rFonts w:eastAsia="Calibri"/>
          <w:sz w:val="24"/>
          <w:szCs w:val="24"/>
          <w:lang w:eastAsia="en-US" w:bidi="ar-SA"/>
        </w:rPr>
        <w:tab/>
        <w:t xml:space="preserve"> any Ne</w:t>
      </w:r>
      <w:r w:rsidR="00033865">
        <w:rPr>
          <w:rFonts w:eastAsia="Calibri"/>
          <w:sz w:val="24"/>
          <w:szCs w:val="24"/>
          <w:lang w:eastAsia="en-US" w:bidi="ar-SA"/>
        </w:rPr>
        <w:t xml:space="preserve">w Energy Strategy IT Solution; </w:t>
      </w:r>
    </w:p>
    <w:p w:rsidR="003F7706" w:rsidRDefault="003F7706" w:rsidP="004A34EE">
      <w:pPr>
        <w:widowControl/>
        <w:autoSpaceDE/>
        <w:autoSpaceDN/>
        <w:spacing w:after="160" w:line="276" w:lineRule="auto"/>
        <w:ind w:left="851"/>
        <w:rPr>
          <w:rFonts w:eastAsia="Calibri"/>
          <w:sz w:val="24"/>
          <w:szCs w:val="24"/>
          <w:lang w:eastAsia="en-US" w:bidi="ar-SA"/>
        </w:rPr>
      </w:pPr>
      <w:r w:rsidRPr="003F7706">
        <w:rPr>
          <w:rFonts w:eastAsia="Calibri"/>
          <w:sz w:val="24"/>
          <w:szCs w:val="24"/>
          <w:lang w:eastAsia="en-US" w:bidi="ar-SA"/>
        </w:rPr>
        <w:t>(b)</w:t>
      </w:r>
      <w:r w:rsidRPr="003F7706">
        <w:rPr>
          <w:rFonts w:eastAsia="Calibri"/>
          <w:sz w:val="24"/>
          <w:szCs w:val="24"/>
          <w:lang w:eastAsia="en-US" w:bidi="ar-SA"/>
        </w:rPr>
        <w:tab/>
        <w:t>any significant changes required to the specification of the information technology systems utilised by the Licensee for the purposes of providing the Market Data Service or the Market Registration Service.</w:t>
      </w:r>
    </w:p>
    <w:p w:rsidR="005105DE" w:rsidRPr="005105DE" w:rsidRDefault="005105DE" w:rsidP="005105DE">
      <w:pPr>
        <w:widowControl/>
        <w:autoSpaceDE/>
        <w:autoSpaceDN/>
        <w:spacing w:after="160" w:line="256" w:lineRule="auto"/>
        <w:rPr>
          <w:rFonts w:ascii="Calibri" w:eastAsia="Calibri" w:hAnsi="Calibri" w:cs="Times New Roman"/>
          <w:i/>
          <w:lang w:eastAsia="en-US" w:bidi="ar-SA"/>
        </w:rPr>
      </w:pPr>
    </w:p>
    <w:p w:rsidR="005105DE" w:rsidRDefault="005105DE" w:rsidP="004A34EE">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Table 3 – The Distribution Business allowed capex per RAB_D5Y for each Regulatory</w:t>
      </w:r>
      <w:r w:rsidR="00BE6182">
        <w:rPr>
          <w:rFonts w:eastAsia="Calibri"/>
          <w:sz w:val="24"/>
          <w:szCs w:val="24"/>
          <w:lang w:eastAsia="en-US" w:bidi="ar-SA"/>
        </w:rPr>
        <w:t xml:space="preserve"> </w:t>
      </w:r>
      <w:r w:rsidRPr="004A34EE">
        <w:rPr>
          <w:rFonts w:eastAsia="Calibri"/>
          <w:sz w:val="24"/>
          <w:szCs w:val="24"/>
          <w:lang w:eastAsia="en-US" w:bidi="ar-SA"/>
        </w:rPr>
        <w:t>Reporting Year t (£ million, 2016 prices)</w:t>
      </w:r>
    </w:p>
    <w:p w:rsidR="00BE6182" w:rsidRPr="004A34EE" w:rsidRDefault="00BE6182" w:rsidP="00BE6182">
      <w:pPr>
        <w:widowControl/>
        <w:autoSpaceDE/>
        <w:autoSpaceDN/>
        <w:spacing w:after="160" w:line="256" w:lineRule="auto"/>
        <w:ind w:left="709"/>
        <w:rPr>
          <w:rFonts w:eastAsia="Calibri"/>
          <w:sz w:val="24"/>
          <w:szCs w:val="24"/>
          <w:lang w:eastAsia="en-US" w:bidi="ar-SA"/>
        </w:rPr>
      </w:pPr>
    </w:p>
    <w:tbl>
      <w:tblPr>
        <w:tblStyle w:val="TableGrid2"/>
        <w:tblW w:w="7933" w:type="dxa"/>
        <w:tblInd w:w="1094" w:type="dxa"/>
        <w:tblLook w:val="04A0" w:firstRow="1" w:lastRow="0" w:firstColumn="1" w:lastColumn="0" w:noHBand="0" w:noVBand="1"/>
      </w:tblPr>
      <w:tblGrid>
        <w:gridCol w:w="1128"/>
        <w:gridCol w:w="994"/>
        <w:gridCol w:w="850"/>
        <w:gridCol w:w="992"/>
        <w:gridCol w:w="993"/>
        <w:gridCol w:w="992"/>
        <w:gridCol w:w="992"/>
        <w:gridCol w:w="992"/>
      </w:tblGrid>
      <w:tr w:rsidR="00BE6182" w:rsidRPr="00BE6182" w:rsidTr="004A34EE">
        <w:trPr>
          <w:trHeight w:val="511"/>
        </w:trPr>
        <w:tc>
          <w:tcPr>
            <w:tcW w:w="1128"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jc w:val="right"/>
              <w:rPr>
                <w:rFonts w:eastAsia="Calibri"/>
                <w:sz w:val="20"/>
                <w:szCs w:val="20"/>
                <w:lang w:eastAsia="en-US" w:bidi="ar-SA"/>
              </w:rPr>
            </w:pPr>
            <w:r w:rsidRPr="004A34EE">
              <w:rPr>
                <w:rFonts w:eastAsia="Calibri"/>
                <w:noProof/>
                <w:sz w:val="20"/>
                <w:szCs w:val="20"/>
                <w:lang w:bidi="ar-SA"/>
              </w:rPr>
              <mc:AlternateContent>
                <mc:Choice Requires="wps">
                  <w:drawing>
                    <wp:anchor distT="0" distB="0" distL="114300" distR="114300" simplePos="0" relativeHeight="251667968" behindDoc="0" locked="0" layoutInCell="1" allowOverlap="1" wp14:anchorId="66A5811B" wp14:editId="7656CC76">
                      <wp:simplePos x="0" y="0"/>
                      <wp:positionH relativeFrom="column">
                        <wp:posOffset>-52705</wp:posOffset>
                      </wp:positionH>
                      <wp:positionV relativeFrom="paragraph">
                        <wp:posOffset>13970</wp:posOffset>
                      </wp:positionV>
                      <wp:extent cx="692150" cy="317500"/>
                      <wp:effectExtent l="0" t="0" r="31750" b="25400"/>
                      <wp:wrapNone/>
                      <wp:docPr id="2" name="Straight Connector 1"/>
                      <wp:cNvGraphicFramePr/>
                      <a:graphic xmlns:a="http://schemas.openxmlformats.org/drawingml/2006/main">
                        <a:graphicData uri="http://schemas.microsoft.com/office/word/2010/wordprocessingShape">
                          <wps:wsp>
                            <wps:cNvCnPr/>
                            <wps:spPr>
                              <a:xfrm flipH="1" flipV="1">
                                <a:off x="0" y="0"/>
                                <a:ext cx="692150" cy="317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6DCDB" id="Straight Connector 1"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pt" to="50.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" strokecolor="windowText" strokeweight=".5pt">
                      <v:stroke joinstyle="miter"/>
                    </v:line>
                  </w:pict>
                </mc:Fallback>
              </mc:AlternateContent>
            </w:r>
            <w:r w:rsidRPr="004A34EE">
              <w:rPr>
                <w:rFonts w:eastAsia="Calibri"/>
                <w:sz w:val="20"/>
                <w:szCs w:val="20"/>
                <w:lang w:eastAsia="en-US" w:bidi="ar-SA"/>
              </w:rPr>
              <w:t>Year</w:t>
            </w:r>
          </w:p>
        </w:tc>
        <w:tc>
          <w:tcPr>
            <w:tcW w:w="994"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t=2018</w:t>
            </w:r>
          </w:p>
        </w:tc>
        <w:tc>
          <w:tcPr>
            <w:tcW w:w="850"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t=2019</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t=2020</w:t>
            </w:r>
          </w:p>
        </w:tc>
        <w:tc>
          <w:tcPr>
            <w:tcW w:w="993"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t=2021</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t=2022</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t=2023</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t=2024</w:t>
            </w:r>
          </w:p>
        </w:tc>
      </w:tr>
      <w:tr w:rsidR="00BE6182" w:rsidRPr="00BE6182" w:rsidTr="004A34EE">
        <w:tc>
          <w:tcPr>
            <w:tcW w:w="1128"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RAB_D5Y</w:t>
            </w:r>
          </w:p>
        </w:tc>
        <w:tc>
          <w:tcPr>
            <w:tcW w:w="994"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8.451</w:t>
            </w:r>
          </w:p>
        </w:tc>
        <w:tc>
          <w:tcPr>
            <w:tcW w:w="850"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11.069</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9.016</w:t>
            </w:r>
          </w:p>
        </w:tc>
        <w:tc>
          <w:tcPr>
            <w:tcW w:w="993"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7.071</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6.483</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5.941</w:t>
            </w:r>
          </w:p>
        </w:tc>
        <w:tc>
          <w:tcPr>
            <w:tcW w:w="992" w:type="dxa"/>
            <w:tcBorders>
              <w:top w:val="single" w:sz="4" w:space="0" w:color="auto"/>
              <w:left w:val="single" w:sz="4" w:space="0" w:color="auto"/>
              <w:bottom w:val="single" w:sz="4" w:space="0" w:color="auto"/>
              <w:right w:val="single" w:sz="4" w:space="0" w:color="auto"/>
            </w:tcBorders>
            <w:hideMark/>
          </w:tcPr>
          <w:p w:rsidR="005105DE" w:rsidRPr="004A34EE" w:rsidRDefault="005105DE" w:rsidP="005105DE">
            <w:pPr>
              <w:rPr>
                <w:rFonts w:eastAsia="Calibri"/>
                <w:sz w:val="20"/>
                <w:szCs w:val="20"/>
                <w:lang w:eastAsia="en-US" w:bidi="ar-SA"/>
              </w:rPr>
            </w:pPr>
            <w:r w:rsidRPr="004A34EE">
              <w:rPr>
                <w:rFonts w:eastAsia="Calibri"/>
                <w:sz w:val="20"/>
                <w:szCs w:val="20"/>
                <w:lang w:eastAsia="en-US" w:bidi="ar-SA"/>
              </w:rPr>
              <w:t>7.974</w:t>
            </w:r>
          </w:p>
        </w:tc>
      </w:tr>
    </w:tbl>
    <w:p w:rsidR="005105DE" w:rsidRPr="004A34EE" w:rsidRDefault="005105DE" w:rsidP="005105DE">
      <w:pPr>
        <w:widowControl/>
        <w:autoSpaceDE/>
        <w:autoSpaceDN/>
        <w:spacing w:after="160" w:line="256" w:lineRule="auto"/>
        <w:rPr>
          <w:rFonts w:eastAsia="Calibri"/>
          <w:sz w:val="24"/>
          <w:szCs w:val="24"/>
          <w:lang w:eastAsia="en-US" w:bidi="ar-SA"/>
        </w:rPr>
      </w:pPr>
    </w:p>
    <w:p w:rsidR="005105DE" w:rsidRPr="004A34EE" w:rsidRDefault="005105DE" w:rsidP="00A77301">
      <w:pPr>
        <w:widowControl/>
        <w:autoSpaceDE/>
        <w:autoSpaceDN/>
        <w:spacing w:after="160" w:line="256" w:lineRule="auto"/>
        <w:ind w:left="851"/>
        <w:rPr>
          <w:rFonts w:eastAsia="Calibri"/>
          <w:b/>
          <w:sz w:val="24"/>
          <w:szCs w:val="24"/>
          <w:lang w:eastAsia="en-US" w:bidi="ar-SA"/>
        </w:rPr>
      </w:pPr>
      <w:r w:rsidRPr="004A34EE">
        <w:rPr>
          <w:rFonts w:eastAsia="Calibri"/>
          <w:b/>
          <w:sz w:val="24"/>
          <w:szCs w:val="24"/>
          <w:lang w:eastAsia="en-US" w:bidi="ar-SA"/>
        </w:rPr>
        <w:lastRenderedPageBreak/>
        <w:t>Opex expenditure</w:t>
      </w:r>
    </w:p>
    <w:p w:rsidR="005105DE" w:rsidRPr="004A34EE" w:rsidRDefault="005105DE" w:rsidP="004A34EE">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Modification of Annex 2 condition 6.15 (allowed opex other amount)</w:t>
      </w:r>
    </w:p>
    <w:p w:rsidR="005105DE" w:rsidRPr="004A34EE" w:rsidRDefault="005105DE" w:rsidP="004A34EE">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For the purposes of this Annex, in each Regulatory Reporting Year t, the allowed opex other amount (AOO</w:t>
      </w:r>
      <w:r w:rsidRPr="004A34EE">
        <w:rPr>
          <w:rFonts w:eastAsia="Calibri"/>
          <w:sz w:val="24"/>
          <w:szCs w:val="24"/>
          <w:vertAlign w:val="subscript"/>
          <w:lang w:eastAsia="en-US" w:bidi="ar-SA"/>
        </w:rPr>
        <w:t>t</w:t>
      </w:r>
      <w:r w:rsidRPr="004A34EE">
        <w:rPr>
          <w:rFonts w:eastAsia="Calibri"/>
          <w:sz w:val="24"/>
          <w:szCs w:val="24"/>
          <w:lang w:eastAsia="en-US" w:bidi="ar-SA"/>
        </w:rPr>
        <w:t>), being the amounts for other opex items listed immediately below, shall be calculated as follows:</w:t>
      </w:r>
    </w:p>
    <w:p w:rsidR="005105DE" w:rsidRPr="004A34EE" w:rsidRDefault="005105DE" w:rsidP="004A34EE">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AOO</w:t>
      </w:r>
      <w:r w:rsidRPr="004A34EE">
        <w:rPr>
          <w:rFonts w:eastAsia="Calibri"/>
          <w:sz w:val="24"/>
          <w:szCs w:val="24"/>
          <w:vertAlign w:val="subscript"/>
          <w:lang w:eastAsia="en-US" w:bidi="ar-SA"/>
        </w:rPr>
        <w:t>t</w:t>
      </w:r>
      <w:r w:rsidRPr="004A34EE">
        <w:rPr>
          <w:rFonts w:eastAsia="Calibri"/>
          <w:sz w:val="24"/>
          <w:szCs w:val="24"/>
          <w:lang w:eastAsia="en-US" w:bidi="ar-SA"/>
        </w:rPr>
        <w:t xml:space="preserve"> = ES</w:t>
      </w:r>
      <w:r w:rsidRPr="004A34EE">
        <w:rPr>
          <w:rFonts w:eastAsia="Calibri"/>
          <w:sz w:val="24"/>
          <w:szCs w:val="24"/>
          <w:vertAlign w:val="subscript"/>
          <w:lang w:eastAsia="en-US" w:bidi="ar-SA"/>
        </w:rPr>
        <w:t>t</w:t>
      </w:r>
      <w:r w:rsidRPr="004A34EE">
        <w:rPr>
          <w:rFonts w:eastAsia="Calibri"/>
          <w:sz w:val="24"/>
          <w:szCs w:val="24"/>
          <w:lang w:eastAsia="en-US" w:bidi="ar-SA"/>
        </w:rPr>
        <w:t xml:space="preserve"> + IA</w:t>
      </w:r>
      <w:r w:rsidRPr="004A34EE">
        <w:rPr>
          <w:rFonts w:eastAsia="Calibri"/>
          <w:sz w:val="24"/>
          <w:szCs w:val="24"/>
          <w:vertAlign w:val="subscript"/>
          <w:lang w:eastAsia="en-US" w:bidi="ar-SA"/>
        </w:rPr>
        <w:t>t</w:t>
      </w:r>
      <w:r w:rsidRPr="004A34EE">
        <w:rPr>
          <w:rFonts w:eastAsia="Calibri"/>
          <w:sz w:val="24"/>
          <w:szCs w:val="24"/>
          <w:lang w:eastAsia="en-US" w:bidi="ar-SA"/>
        </w:rPr>
        <w:t xml:space="preserve"> + COL</w:t>
      </w:r>
      <w:r w:rsidRPr="004A34EE">
        <w:rPr>
          <w:rFonts w:eastAsia="Calibri"/>
          <w:sz w:val="24"/>
          <w:szCs w:val="24"/>
          <w:vertAlign w:val="subscript"/>
          <w:lang w:eastAsia="en-US" w:bidi="ar-SA"/>
        </w:rPr>
        <w:t>t</w:t>
      </w:r>
      <w:r w:rsidRPr="004A34EE">
        <w:rPr>
          <w:rFonts w:eastAsia="Calibri"/>
          <w:sz w:val="24"/>
          <w:szCs w:val="24"/>
          <w:lang w:eastAsia="en-US" w:bidi="ar-SA"/>
        </w:rPr>
        <w:t xml:space="preserve"> + NES</w:t>
      </w:r>
      <w:r w:rsidRPr="004A34EE">
        <w:rPr>
          <w:rFonts w:eastAsia="Calibri"/>
          <w:sz w:val="24"/>
          <w:szCs w:val="24"/>
          <w:vertAlign w:val="subscript"/>
          <w:lang w:eastAsia="en-US" w:bidi="ar-SA"/>
        </w:rPr>
        <w:t>t</w:t>
      </w:r>
    </w:p>
    <w:p w:rsidR="005105DE" w:rsidRPr="004A34EE" w:rsidRDefault="005105DE" w:rsidP="004A34EE">
      <w:pPr>
        <w:widowControl/>
        <w:autoSpaceDE/>
        <w:autoSpaceDN/>
        <w:spacing w:after="160" w:line="276" w:lineRule="auto"/>
        <w:ind w:left="851"/>
        <w:rPr>
          <w:rFonts w:eastAsia="Calibri"/>
          <w:sz w:val="24"/>
          <w:szCs w:val="24"/>
          <w:lang w:eastAsia="en-US" w:bidi="ar-SA"/>
        </w:rPr>
      </w:pPr>
      <w:r w:rsidRPr="004A34EE">
        <w:rPr>
          <w:rFonts w:eastAsia="Calibri"/>
          <w:sz w:val="24"/>
          <w:szCs w:val="24"/>
          <w:lang w:eastAsia="en-US" w:bidi="ar-SA"/>
        </w:rPr>
        <w:t>Where:</w:t>
      </w:r>
    </w:p>
    <w:p w:rsidR="003F7706" w:rsidRPr="004A34EE" w:rsidRDefault="003F7706" w:rsidP="003F7706">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ES</w:t>
      </w:r>
      <w:r w:rsidRPr="00EF3FC3">
        <w:rPr>
          <w:rFonts w:eastAsia="Calibri"/>
          <w:sz w:val="24"/>
          <w:szCs w:val="24"/>
          <w:vertAlign w:val="subscript"/>
          <w:lang w:eastAsia="en-US" w:bidi="ar-SA"/>
        </w:rPr>
        <w:t>t</w:t>
      </w:r>
      <w:r w:rsidRPr="004A34EE">
        <w:rPr>
          <w:rFonts w:eastAsia="Calibri"/>
          <w:sz w:val="24"/>
          <w:szCs w:val="24"/>
          <w:lang w:eastAsia="en-US" w:bidi="ar-SA"/>
        </w:rPr>
        <w:t xml:space="preserve"> is the all</w:t>
      </w:r>
      <w:r w:rsidR="00F64BF3" w:rsidRPr="004A34EE">
        <w:rPr>
          <w:rFonts w:eastAsia="Calibri"/>
          <w:sz w:val="24"/>
          <w:szCs w:val="24"/>
          <w:lang w:eastAsia="en-US" w:bidi="ar-SA"/>
        </w:rPr>
        <w:t>owed opex amount (if any) in</w:t>
      </w:r>
      <w:r w:rsidRPr="004A34EE">
        <w:rPr>
          <w:rFonts w:eastAsia="Calibri"/>
          <w:sz w:val="24"/>
          <w:szCs w:val="24"/>
          <w:lang w:eastAsia="en-US" w:bidi="ar-SA"/>
        </w:rPr>
        <w:t xml:space="preserve"> Regulatory Reporting Year t for the Enduring Solution, being the additional amount that the Authority determines in a published decision, to be appropriate for the Licensee to recover in that Regulatory Reporting Year in respect of any significant changes in the specification of the service that the Licensee is required to provide in relation to the Enduring Solution market opening system;</w:t>
      </w:r>
    </w:p>
    <w:p w:rsidR="003F7706" w:rsidRPr="004A34EE" w:rsidRDefault="003F7706" w:rsidP="003F7706">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IA</w:t>
      </w:r>
      <w:r w:rsidRPr="00EF3FC3">
        <w:rPr>
          <w:rFonts w:eastAsia="Calibri"/>
          <w:sz w:val="24"/>
          <w:szCs w:val="24"/>
          <w:vertAlign w:val="subscript"/>
          <w:lang w:eastAsia="en-US" w:bidi="ar-SA"/>
        </w:rPr>
        <w:t>t</w:t>
      </w:r>
      <w:r w:rsidRPr="004A34EE">
        <w:rPr>
          <w:rFonts w:eastAsia="Calibri"/>
          <w:sz w:val="24"/>
          <w:szCs w:val="24"/>
          <w:lang w:eastAsia="en-US" w:bidi="ar-SA"/>
        </w:rPr>
        <w:t xml:space="preserve"> is the allowed opex amount (if any) in Regulatory Reporting Year t, for injurious affectation, being the amount that the Authority determines in a published decision to be appropriate for the Licensee to recover in respect of injurious affectation claims in that Regulatory Reporting Year; </w:t>
      </w:r>
    </w:p>
    <w:p w:rsidR="003F7706" w:rsidRPr="004A34EE" w:rsidRDefault="003F7706" w:rsidP="003F7706">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COL</w:t>
      </w:r>
      <w:r w:rsidRPr="00EF3FC3">
        <w:rPr>
          <w:rFonts w:eastAsia="Calibri"/>
          <w:sz w:val="24"/>
          <w:szCs w:val="24"/>
          <w:vertAlign w:val="subscript"/>
          <w:lang w:eastAsia="en-US" w:bidi="ar-SA"/>
        </w:rPr>
        <w:t>t</w:t>
      </w:r>
      <w:r w:rsidRPr="004A34EE">
        <w:rPr>
          <w:rFonts w:eastAsia="Calibri"/>
          <w:sz w:val="24"/>
          <w:szCs w:val="24"/>
          <w:lang w:eastAsia="en-US" w:bidi="ar-SA"/>
        </w:rPr>
        <w:t xml:space="preserve"> is the allowed opex amount (if any) for changes of law, in an amount determined by the Authority to be appropriate in accordance with paragraph 6.16; and</w:t>
      </w:r>
    </w:p>
    <w:p w:rsidR="003F7706" w:rsidRPr="004A34EE" w:rsidRDefault="003F7706" w:rsidP="003F7706">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NES</w:t>
      </w:r>
      <w:r w:rsidRPr="00EF3FC3">
        <w:rPr>
          <w:rFonts w:eastAsia="Calibri"/>
          <w:sz w:val="24"/>
          <w:szCs w:val="24"/>
          <w:vertAlign w:val="subscript"/>
          <w:lang w:eastAsia="en-US" w:bidi="ar-SA"/>
        </w:rPr>
        <w:t>t</w:t>
      </w:r>
      <w:r w:rsidRPr="004A34EE">
        <w:rPr>
          <w:rFonts w:eastAsia="Calibri"/>
          <w:sz w:val="24"/>
          <w:szCs w:val="24"/>
          <w:lang w:eastAsia="en-US" w:bidi="ar-SA"/>
        </w:rPr>
        <w:t xml:space="preserve"> is the allowed opex amount (if any) in Regulatory Reporting Year t,</w:t>
      </w:r>
      <w:r>
        <w:rPr>
          <w:rFonts w:eastAsia="Calibri"/>
          <w:sz w:val="24"/>
          <w:szCs w:val="24"/>
          <w:lang w:eastAsia="en-US" w:bidi="ar-SA"/>
        </w:rPr>
        <w:t xml:space="preserve"> </w:t>
      </w:r>
      <w:r w:rsidRPr="003F7706">
        <w:rPr>
          <w:rFonts w:eastAsia="Calibri"/>
          <w:sz w:val="24"/>
          <w:szCs w:val="24"/>
          <w:lang w:eastAsia="en-US" w:bidi="ar-SA"/>
        </w:rPr>
        <w:t>up to and including Regulatory Reporting Year t=2024 only</w:t>
      </w:r>
      <w:r w:rsidR="002A02E7">
        <w:rPr>
          <w:rFonts w:eastAsia="Calibri"/>
          <w:sz w:val="24"/>
          <w:szCs w:val="24"/>
          <w:lang w:eastAsia="en-US" w:bidi="ar-SA"/>
        </w:rPr>
        <w:t>,</w:t>
      </w:r>
      <w:r w:rsidRPr="004A34EE">
        <w:rPr>
          <w:rFonts w:eastAsia="Calibri"/>
          <w:sz w:val="24"/>
          <w:szCs w:val="24"/>
          <w:lang w:eastAsia="en-US" w:bidi="ar-SA"/>
        </w:rPr>
        <w:t xml:space="preserve"> being the amount the Authority determines in a published decision, to be appropriate for the Licensee to recover in respect of:</w:t>
      </w:r>
    </w:p>
    <w:p w:rsidR="003F7706" w:rsidRPr="004A34EE" w:rsidRDefault="003F7706" w:rsidP="002A02E7">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w:t>
      </w:r>
      <w:r w:rsidRPr="004A34EE">
        <w:rPr>
          <w:rFonts w:eastAsia="Calibri"/>
          <w:sz w:val="24"/>
          <w:szCs w:val="24"/>
          <w:lang w:eastAsia="en-US" w:bidi="ar-SA"/>
        </w:rPr>
        <w:tab/>
        <w:t>a New</w:t>
      </w:r>
      <w:r w:rsidRPr="002A02E7">
        <w:rPr>
          <w:rFonts w:eastAsia="Calibri"/>
          <w:sz w:val="24"/>
          <w:szCs w:val="24"/>
          <w:lang w:eastAsia="en-US" w:bidi="ar-SA"/>
        </w:rPr>
        <w:t xml:space="preserve"> Energy Strategy IT Solution;  </w:t>
      </w:r>
    </w:p>
    <w:p w:rsidR="003F7706" w:rsidRPr="004A34EE" w:rsidRDefault="003F7706"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(b)</w:t>
      </w:r>
      <w:r w:rsidRPr="004A34EE">
        <w:rPr>
          <w:rFonts w:eastAsia="Calibri"/>
          <w:sz w:val="24"/>
          <w:szCs w:val="24"/>
          <w:lang w:eastAsia="en-US" w:bidi="ar-SA"/>
        </w:rPr>
        <w:tab/>
        <w:t>any significant changes required to the specification of the information technology systems utilised by the Licensee for the purposes of providing the Market Data Service or the Market Registration Service.</w:t>
      </w:r>
    </w:p>
    <w:p w:rsidR="000A329C" w:rsidRPr="004A34EE" w:rsidRDefault="000A329C" w:rsidP="004A34EE">
      <w:pPr>
        <w:widowControl/>
        <w:autoSpaceDE/>
        <w:autoSpaceDN/>
        <w:spacing w:after="160" w:line="276" w:lineRule="auto"/>
        <w:rPr>
          <w:rFonts w:eastAsia="Calibri"/>
          <w:strike/>
          <w:sz w:val="24"/>
          <w:szCs w:val="24"/>
          <w:lang w:eastAsia="en-US" w:bidi="ar-SA"/>
        </w:rPr>
      </w:pPr>
    </w:p>
    <w:p w:rsidR="005105DE" w:rsidRDefault="0058173D" w:rsidP="004A34EE">
      <w:pPr>
        <w:pStyle w:val="Heading3"/>
        <w:numPr>
          <w:ilvl w:val="0"/>
          <w:numId w:val="0"/>
        </w:numPr>
        <w:ind w:left="709" w:hanging="709"/>
        <w:rPr>
          <w:rFonts w:eastAsia="Calibri"/>
          <w:b/>
          <w:sz w:val="28"/>
          <w:szCs w:val="28"/>
          <w:lang w:eastAsia="en-US" w:bidi="ar-SA"/>
        </w:rPr>
      </w:pPr>
      <w:r w:rsidRPr="004A34EE">
        <w:rPr>
          <w:rFonts w:eastAsia="Calibri"/>
          <w:b/>
          <w:sz w:val="28"/>
          <w:szCs w:val="28"/>
          <w:lang w:eastAsia="en-US" w:bidi="ar-SA"/>
        </w:rPr>
        <w:t>Pro</w:t>
      </w:r>
      <w:r w:rsidR="00890795">
        <w:rPr>
          <w:rFonts w:eastAsia="Calibri"/>
          <w:b/>
          <w:sz w:val="28"/>
          <w:szCs w:val="28"/>
          <w:lang w:eastAsia="en-US" w:bidi="ar-SA"/>
        </w:rPr>
        <w:t>posed Transmission Licence M</w:t>
      </w:r>
      <w:r>
        <w:rPr>
          <w:rFonts w:eastAsia="Calibri"/>
          <w:b/>
          <w:sz w:val="28"/>
          <w:szCs w:val="28"/>
          <w:lang w:eastAsia="en-US" w:bidi="ar-SA"/>
        </w:rPr>
        <w:t>odifications</w:t>
      </w:r>
    </w:p>
    <w:p w:rsidR="00622667" w:rsidRDefault="00890795" w:rsidP="004A34EE">
      <w:pPr>
        <w:pStyle w:val="Heading3"/>
        <w:numPr>
          <w:ilvl w:val="0"/>
          <w:numId w:val="0"/>
        </w:numPr>
        <w:ind w:left="709" w:hanging="709"/>
      </w:pPr>
      <w:r>
        <w:t>3.</w:t>
      </w:r>
      <w:r w:rsidR="00897266">
        <w:t>9</w:t>
      </w:r>
      <w:r>
        <w:t xml:space="preserve"> </w:t>
      </w:r>
      <w:r>
        <w:tab/>
      </w:r>
      <w:r w:rsidR="005105DE">
        <w:t xml:space="preserve">It is similarly anticipated that IT investment </w:t>
      </w:r>
      <w:r w:rsidR="007F34E9">
        <w:t>may</w:t>
      </w:r>
      <w:r w:rsidR="005105DE">
        <w:t xml:space="preserve"> also be required within NIE Networks transmission operations, therefore a modification of this licence is also proposed as a mechanism to permit efficiently incurred cost recovery.</w:t>
      </w:r>
      <w:r w:rsidR="00177DC5">
        <w:t xml:space="preserve"> </w:t>
      </w:r>
    </w:p>
    <w:p w:rsidR="00622667" w:rsidRDefault="00890795" w:rsidP="004A34EE">
      <w:pPr>
        <w:pStyle w:val="Heading3"/>
        <w:numPr>
          <w:ilvl w:val="0"/>
          <w:numId w:val="0"/>
        </w:numPr>
        <w:ind w:left="709" w:hanging="709"/>
      </w:pPr>
      <w:r>
        <w:t>3.</w:t>
      </w:r>
      <w:r w:rsidR="00897266">
        <w:t>10</w:t>
      </w:r>
      <w:r>
        <w:t xml:space="preserve"> </w:t>
      </w:r>
      <w:r>
        <w:tab/>
      </w:r>
      <w:r w:rsidR="00177DC5">
        <w:t>We</w:t>
      </w:r>
      <w:r w:rsidR="00622667">
        <w:t xml:space="preserve"> therefore</w:t>
      </w:r>
      <w:r w:rsidR="00177DC5">
        <w:t xml:space="preserve"> propose to introduce the following</w:t>
      </w:r>
      <w:r w:rsidR="00622667">
        <w:t xml:space="preserve"> modification</w:t>
      </w:r>
      <w:r w:rsidR="00A77301">
        <w:t>s</w:t>
      </w:r>
      <w:r>
        <w:t xml:space="preserve"> into the NIE Networks</w:t>
      </w:r>
      <w:r w:rsidR="002D66FE">
        <w:t xml:space="preserve"> Participate in</w:t>
      </w:r>
      <w:r>
        <w:t xml:space="preserve"> T</w:t>
      </w:r>
      <w:r w:rsidR="00177DC5">
        <w:t>ransmission licence</w:t>
      </w:r>
      <w:r>
        <w:t>:</w:t>
      </w:r>
    </w:p>
    <w:p w:rsidR="00897266" w:rsidRDefault="00897266" w:rsidP="00890795">
      <w:pPr>
        <w:widowControl/>
        <w:tabs>
          <w:tab w:val="left" w:pos="709"/>
        </w:tabs>
        <w:autoSpaceDE/>
        <w:autoSpaceDN/>
        <w:spacing w:after="160" w:line="276" w:lineRule="auto"/>
        <w:ind w:firstLine="709"/>
        <w:rPr>
          <w:rFonts w:eastAsia="Calibri"/>
          <w:b/>
          <w:sz w:val="24"/>
          <w:szCs w:val="24"/>
          <w:lang w:eastAsia="en-US" w:bidi="ar-SA"/>
        </w:rPr>
      </w:pPr>
    </w:p>
    <w:p w:rsidR="00890795" w:rsidRPr="000F5377" w:rsidRDefault="00890795" w:rsidP="00890795">
      <w:pPr>
        <w:widowControl/>
        <w:tabs>
          <w:tab w:val="left" w:pos="709"/>
        </w:tabs>
        <w:autoSpaceDE/>
        <w:autoSpaceDN/>
        <w:spacing w:after="160" w:line="276" w:lineRule="auto"/>
        <w:ind w:firstLine="709"/>
        <w:rPr>
          <w:rFonts w:eastAsia="Calibri"/>
          <w:b/>
          <w:sz w:val="24"/>
          <w:szCs w:val="24"/>
          <w:lang w:eastAsia="en-US" w:bidi="ar-SA"/>
        </w:rPr>
      </w:pPr>
      <w:r w:rsidRPr="000F5377">
        <w:rPr>
          <w:rFonts w:eastAsia="Calibri"/>
          <w:b/>
          <w:sz w:val="24"/>
          <w:szCs w:val="24"/>
          <w:lang w:eastAsia="en-US" w:bidi="ar-SA"/>
        </w:rPr>
        <w:lastRenderedPageBreak/>
        <w:t>Definitions</w:t>
      </w:r>
    </w:p>
    <w:p w:rsidR="00890795" w:rsidRPr="000F5377" w:rsidRDefault="00890795" w:rsidP="004A34EE">
      <w:pPr>
        <w:widowControl/>
        <w:tabs>
          <w:tab w:val="left" w:pos="709"/>
          <w:tab w:val="left" w:pos="851"/>
        </w:tabs>
        <w:autoSpaceDE/>
        <w:autoSpaceDN/>
        <w:spacing w:after="160" w:line="276" w:lineRule="auto"/>
        <w:ind w:left="709"/>
        <w:rPr>
          <w:rFonts w:eastAsia="Calibri"/>
          <w:sz w:val="24"/>
          <w:szCs w:val="24"/>
          <w:lang w:eastAsia="en-US" w:bidi="ar-SA"/>
        </w:rPr>
      </w:pPr>
      <w:r w:rsidRPr="000F5377">
        <w:rPr>
          <w:rFonts w:eastAsia="Calibri"/>
          <w:sz w:val="24"/>
          <w:szCs w:val="24"/>
          <w:lang w:eastAsia="en-US" w:bidi="ar-SA"/>
        </w:rPr>
        <w:t>A new definition should be added at paragraph 1.1 of Annex 2.</w:t>
      </w:r>
    </w:p>
    <w:p w:rsidR="008D5DC2" w:rsidRPr="004A34EE" w:rsidRDefault="008D5DC2" w:rsidP="008D5DC2">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“New Energy Strategy IT Solution” means a new information technology system that is required by the Licensee's Distribution Business for the purposes of implementing any new energy policy which:</w:t>
      </w:r>
    </w:p>
    <w:p w:rsidR="008D5DC2" w:rsidRPr="004A34EE" w:rsidRDefault="008D5DC2" w:rsidP="008D5DC2">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w:t>
      </w:r>
      <w:r w:rsidRPr="004A34EE">
        <w:rPr>
          <w:rFonts w:eastAsia="Calibri"/>
          <w:sz w:val="24"/>
          <w:szCs w:val="24"/>
          <w:lang w:eastAsia="en-US" w:bidi="ar-SA"/>
        </w:rPr>
        <w:tab/>
        <w:t xml:space="preserve"> is introduced by a competent authority; and </w:t>
      </w:r>
    </w:p>
    <w:p w:rsidR="008D5DC2" w:rsidRPr="004A34EE" w:rsidRDefault="008D5DC2" w:rsidP="004A34EE">
      <w:pPr>
        <w:widowControl/>
        <w:tabs>
          <w:tab w:val="left" w:pos="709"/>
        </w:tabs>
        <w:autoSpaceDE/>
        <w:autoSpaceDN/>
        <w:spacing w:after="160" w:line="276" w:lineRule="auto"/>
        <w:ind w:left="709"/>
        <w:rPr>
          <w:rFonts w:eastAsia="Calibri"/>
          <w:lang w:eastAsia="en-US" w:bidi="ar-SA"/>
        </w:rPr>
      </w:pPr>
      <w:r w:rsidRPr="004A34EE">
        <w:rPr>
          <w:rFonts w:eastAsia="Calibri"/>
          <w:sz w:val="24"/>
          <w:szCs w:val="24"/>
          <w:lang w:eastAsia="en-US" w:bidi="ar-SA"/>
        </w:rPr>
        <w:t>(b)</w:t>
      </w:r>
      <w:r w:rsidRPr="004A34EE">
        <w:rPr>
          <w:rFonts w:eastAsia="Calibri"/>
          <w:sz w:val="24"/>
          <w:szCs w:val="24"/>
          <w:lang w:eastAsia="en-US" w:bidi="ar-SA"/>
        </w:rPr>
        <w:tab/>
        <w:t>requires a change to be made to the specification of services provided by the Licensee's Distribution Business.</w:t>
      </w:r>
    </w:p>
    <w:p w:rsidR="00622667" w:rsidRPr="004A34EE" w:rsidRDefault="00622667" w:rsidP="004A34EE">
      <w:pPr>
        <w:widowControl/>
        <w:autoSpaceDE/>
        <w:autoSpaceDN/>
        <w:spacing w:after="160" w:line="256" w:lineRule="auto"/>
        <w:ind w:firstLine="709"/>
        <w:rPr>
          <w:rFonts w:eastAsia="Calibri"/>
          <w:b/>
          <w:sz w:val="24"/>
          <w:szCs w:val="24"/>
          <w:lang w:eastAsia="en-US" w:bidi="ar-SA"/>
        </w:rPr>
      </w:pPr>
      <w:r w:rsidRPr="004A34EE">
        <w:rPr>
          <w:rFonts w:eastAsia="Calibri"/>
          <w:b/>
          <w:sz w:val="24"/>
          <w:szCs w:val="24"/>
          <w:lang w:eastAsia="en-US" w:bidi="ar-SA"/>
        </w:rPr>
        <w:t>Capex Expenditure</w:t>
      </w:r>
    </w:p>
    <w:p w:rsidR="00622667" w:rsidRPr="004A34EE" w:rsidRDefault="00622667"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Modification of condition 4.32 (</w:t>
      </w:r>
      <w:r w:rsidRPr="004A34EE">
        <w:rPr>
          <w:rFonts w:eastAsia="Calibri"/>
          <w:b/>
          <w:sz w:val="24"/>
          <w:szCs w:val="24"/>
          <w:lang w:eastAsia="en-US" w:bidi="ar-SA"/>
        </w:rPr>
        <w:t>Allowed capex – AC_X</w:t>
      </w:r>
      <w:r w:rsidRPr="004A34EE">
        <w:rPr>
          <w:rFonts w:eastAsia="Calibri"/>
          <w:b/>
          <w:sz w:val="24"/>
          <w:szCs w:val="24"/>
          <w:vertAlign w:val="subscript"/>
          <w:lang w:eastAsia="en-US" w:bidi="ar-SA"/>
        </w:rPr>
        <w:t>t</w:t>
      </w:r>
      <w:r w:rsidRPr="004A34EE">
        <w:rPr>
          <w:rFonts w:eastAsia="Calibri"/>
          <w:sz w:val="24"/>
          <w:szCs w:val="24"/>
          <w:lang w:eastAsia="en-US" w:bidi="ar-SA"/>
        </w:rPr>
        <w:t>)</w:t>
      </w:r>
    </w:p>
    <w:p w:rsidR="00622667" w:rsidRPr="004A34EE" w:rsidRDefault="00622667"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2. For the purposes of this Annex, in each Regulatory Reporting Year t, and for RAB_X, the allowed capex (AC_X</w:t>
      </w:r>
      <w:r w:rsidRPr="004A34EE">
        <w:rPr>
          <w:rFonts w:eastAsia="Calibri"/>
          <w:sz w:val="24"/>
          <w:szCs w:val="24"/>
          <w:vertAlign w:val="subscript"/>
          <w:lang w:eastAsia="en-US" w:bidi="ar-SA"/>
        </w:rPr>
        <w:t>t</w:t>
      </w:r>
      <w:r w:rsidRPr="004A34EE">
        <w:rPr>
          <w:rFonts w:eastAsia="Calibri"/>
          <w:sz w:val="24"/>
          <w:szCs w:val="24"/>
          <w:lang w:eastAsia="en-US" w:bidi="ar-SA"/>
        </w:rPr>
        <w:t>) amounts shall be calculated as follows:</w:t>
      </w:r>
    </w:p>
    <w:p w:rsidR="00622667" w:rsidRPr="004A34EE" w:rsidRDefault="00622667"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AC_X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 </w:t>
      </w:r>
      <w:r w:rsidR="00444B79">
        <w:rPr>
          <w:rFonts w:eastAsia="Calibri"/>
          <w:sz w:val="24"/>
          <w:szCs w:val="24"/>
          <w:lang w:eastAsia="en-US" w:bidi="ar-SA"/>
        </w:rPr>
        <w:t>(</w:t>
      </w:r>
      <w:r w:rsidRPr="004A34EE">
        <w:rPr>
          <w:rFonts w:eastAsia="Calibri"/>
          <w:sz w:val="24"/>
          <w:szCs w:val="24"/>
          <w:lang w:eastAsia="en-US" w:bidi="ar-SA"/>
        </w:rPr>
        <w:t>AC_2016_X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 RPI</w:t>
      </w:r>
      <w:r w:rsidRPr="004A34EE">
        <w:rPr>
          <w:rFonts w:eastAsia="Calibri"/>
          <w:sz w:val="24"/>
          <w:szCs w:val="24"/>
          <w:vertAlign w:val="subscript"/>
          <w:lang w:eastAsia="en-US" w:bidi="ar-SA"/>
        </w:rPr>
        <w:t>t</w:t>
      </w:r>
      <w:r w:rsidRPr="004A34EE">
        <w:rPr>
          <w:rFonts w:eastAsia="Calibri"/>
          <w:sz w:val="24"/>
          <w:szCs w:val="24"/>
          <w:lang w:eastAsia="en-US" w:bidi="ar-SA"/>
        </w:rPr>
        <w:t xml:space="preserve"> / RPI</w:t>
      </w:r>
      <w:r w:rsidR="00C6694C">
        <w:rPr>
          <w:rFonts w:eastAsia="Calibri"/>
          <w:sz w:val="24"/>
          <w:szCs w:val="24"/>
          <w:vertAlign w:val="subscript"/>
          <w:lang w:eastAsia="en-US" w:bidi="ar-SA"/>
        </w:rPr>
        <w:t>2016</w:t>
      </w:r>
      <w:r w:rsidR="00444B79">
        <w:rPr>
          <w:rFonts w:eastAsia="Calibri"/>
          <w:sz w:val="24"/>
          <w:szCs w:val="24"/>
          <w:lang w:eastAsia="en-US" w:bidi="ar-SA"/>
        </w:rPr>
        <w:t xml:space="preserve">) </w:t>
      </w:r>
      <w:r w:rsidRPr="004A34EE">
        <w:rPr>
          <w:rFonts w:eastAsia="Calibri"/>
          <w:sz w:val="24"/>
          <w:szCs w:val="24"/>
          <w:lang w:eastAsia="en-US" w:bidi="ar-SA"/>
        </w:rPr>
        <w:t>+</w:t>
      </w:r>
      <w:r w:rsidR="00444B79">
        <w:rPr>
          <w:rFonts w:eastAsia="Calibri"/>
          <w:sz w:val="24"/>
          <w:szCs w:val="24"/>
          <w:lang w:eastAsia="en-US" w:bidi="ar-SA"/>
        </w:rPr>
        <w:t xml:space="preserve"> </w:t>
      </w:r>
      <w:r w:rsidRPr="004A34EE">
        <w:rPr>
          <w:rFonts w:eastAsia="Calibri"/>
          <w:sz w:val="24"/>
          <w:szCs w:val="24"/>
          <w:lang w:eastAsia="en-US" w:bidi="ar-SA"/>
        </w:rPr>
        <w:t>ACNES_X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w:t>
      </w:r>
    </w:p>
    <w:p w:rsidR="00622667" w:rsidRPr="00622667" w:rsidRDefault="00622667" w:rsidP="004A34EE">
      <w:pPr>
        <w:widowControl/>
        <w:autoSpaceDE/>
        <w:autoSpaceDN/>
        <w:spacing w:after="160" w:line="276" w:lineRule="auto"/>
        <w:ind w:left="709"/>
        <w:rPr>
          <w:rFonts w:ascii="Calibri" w:eastAsia="Calibri" w:hAnsi="Calibri" w:cs="Times New Roman"/>
          <w:i/>
          <w:lang w:eastAsia="en-US" w:bidi="ar-SA"/>
        </w:rPr>
      </w:pPr>
      <w:r w:rsidRPr="004A34EE">
        <w:rPr>
          <w:rFonts w:eastAsia="Calibri"/>
          <w:sz w:val="24"/>
          <w:szCs w:val="24"/>
          <w:lang w:eastAsia="en-US" w:bidi="ar-SA"/>
        </w:rPr>
        <w:t>Where:</w:t>
      </w:r>
    </w:p>
    <w:p w:rsidR="00622667" w:rsidRPr="004A34EE" w:rsidRDefault="00622667"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AC_2016_X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is the allowed capex amount, in a 2016 price base, for RAB_X for each Regulatory Reporting Year t, and shall be equal to the amounts specified in Table 3 below.</w:t>
      </w:r>
    </w:p>
    <w:p w:rsidR="000B49BD" w:rsidRPr="004A34EE" w:rsidRDefault="000B49BD" w:rsidP="000B49BD">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ACNES_X</w:t>
      </w:r>
      <w:r w:rsidRPr="001F4F8C">
        <w:rPr>
          <w:rFonts w:eastAsia="Calibri"/>
          <w:sz w:val="24"/>
          <w:szCs w:val="24"/>
          <w:vertAlign w:val="subscript"/>
          <w:lang w:eastAsia="en-US" w:bidi="ar-SA"/>
        </w:rPr>
        <w:t>t</w:t>
      </w:r>
      <w:r w:rsidRPr="004A34EE">
        <w:rPr>
          <w:rFonts w:eastAsia="Calibri"/>
          <w:sz w:val="24"/>
          <w:szCs w:val="24"/>
          <w:lang w:eastAsia="en-US" w:bidi="ar-SA"/>
        </w:rPr>
        <w:t xml:space="preserve"> is the allowed capex amount (if any) for RAB_D5Y  in respect of any Regulatory Reporting Year t specified in Table 3 below, being an amount  the Authority determines in a published decision to be appropriate for the Licensee to recover in respect of:</w:t>
      </w:r>
    </w:p>
    <w:p w:rsidR="000B49BD" w:rsidRPr="004A34EE" w:rsidRDefault="000B49BD">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w:t>
      </w:r>
      <w:r w:rsidRPr="004A34EE">
        <w:rPr>
          <w:rFonts w:eastAsia="Calibri"/>
          <w:sz w:val="24"/>
          <w:szCs w:val="24"/>
          <w:lang w:eastAsia="en-US" w:bidi="ar-SA"/>
        </w:rPr>
        <w:tab/>
        <w:t xml:space="preserve"> any New Energy Strategy IT Solution;</w:t>
      </w:r>
      <w:r w:rsidR="00C02BEC">
        <w:rPr>
          <w:rFonts w:eastAsia="Calibri"/>
          <w:sz w:val="24"/>
          <w:szCs w:val="24"/>
          <w:lang w:eastAsia="en-US" w:bidi="ar-SA"/>
        </w:rPr>
        <w:t xml:space="preserve"> </w:t>
      </w:r>
    </w:p>
    <w:p w:rsidR="000B49BD" w:rsidRPr="004A34EE" w:rsidRDefault="000B49BD"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(b)</w:t>
      </w:r>
      <w:r w:rsidRPr="004A34EE">
        <w:rPr>
          <w:rFonts w:eastAsia="Calibri"/>
          <w:sz w:val="24"/>
          <w:szCs w:val="24"/>
          <w:lang w:eastAsia="en-US" w:bidi="ar-SA"/>
        </w:rPr>
        <w:tab/>
        <w:t>any significant changes required to the specification of the information technology systems utilised by the Licensee for the purposes of providing the Market Data Service or the Market Registration Service.</w:t>
      </w:r>
    </w:p>
    <w:p w:rsidR="00622667" w:rsidRPr="00622667" w:rsidRDefault="00622667" w:rsidP="00622667">
      <w:pPr>
        <w:widowControl/>
        <w:autoSpaceDE/>
        <w:autoSpaceDN/>
        <w:spacing w:after="160" w:line="256" w:lineRule="auto"/>
        <w:rPr>
          <w:rFonts w:ascii="Calibri" w:eastAsia="Calibri" w:hAnsi="Calibri" w:cs="Times New Roman"/>
          <w:i/>
          <w:lang w:eastAsia="en-US" w:bidi="ar-SA"/>
        </w:rPr>
      </w:pPr>
    </w:p>
    <w:p w:rsidR="00622667" w:rsidRDefault="00622667"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Table 3 – The Transmission Owner Business allowed capex per RAB_X for each Regulatory</w:t>
      </w:r>
      <w:r w:rsidR="00BE6182">
        <w:rPr>
          <w:rFonts w:eastAsia="Calibri"/>
          <w:sz w:val="24"/>
          <w:szCs w:val="24"/>
          <w:lang w:eastAsia="en-US" w:bidi="ar-SA"/>
        </w:rPr>
        <w:t xml:space="preserve"> </w:t>
      </w:r>
      <w:r w:rsidRPr="004A34EE">
        <w:rPr>
          <w:rFonts w:eastAsia="Calibri"/>
          <w:sz w:val="24"/>
          <w:szCs w:val="24"/>
          <w:lang w:eastAsia="en-US" w:bidi="ar-SA"/>
        </w:rPr>
        <w:t>Reporting Year t (£ million, 2016 prices)</w:t>
      </w:r>
    </w:p>
    <w:p w:rsidR="00BE6182" w:rsidRPr="004A34EE" w:rsidRDefault="00BE6182" w:rsidP="00622667">
      <w:pPr>
        <w:widowControl/>
        <w:autoSpaceDE/>
        <w:autoSpaceDN/>
        <w:spacing w:after="160" w:line="256" w:lineRule="auto"/>
        <w:ind w:left="709"/>
        <w:rPr>
          <w:rFonts w:eastAsia="Calibri"/>
          <w:sz w:val="24"/>
          <w:szCs w:val="24"/>
          <w:lang w:eastAsia="en-US" w:bidi="ar-SA"/>
        </w:rPr>
      </w:pPr>
    </w:p>
    <w:tbl>
      <w:tblPr>
        <w:tblStyle w:val="TableGrid3"/>
        <w:tblW w:w="8075" w:type="dxa"/>
        <w:tblInd w:w="954" w:type="dxa"/>
        <w:tblLook w:val="04A0" w:firstRow="1" w:lastRow="0" w:firstColumn="1" w:lastColumn="0" w:noHBand="0" w:noVBand="1"/>
      </w:tblPr>
      <w:tblGrid>
        <w:gridCol w:w="1127"/>
        <w:gridCol w:w="995"/>
        <w:gridCol w:w="992"/>
        <w:gridCol w:w="992"/>
        <w:gridCol w:w="992"/>
        <w:gridCol w:w="993"/>
        <w:gridCol w:w="992"/>
        <w:gridCol w:w="992"/>
      </w:tblGrid>
      <w:tr w:rsidR="00622667" w:rsidRPr="00622667" w:rsidTr="004A34EE">
        <w:trPr>
          <w:trHeight w:val="511"/>
        </w:trPr>
        <w:tc>
          <w:tcPr>
            <w:tcW w:w="1127"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jc w:val="right"/>
              <w:rPr>
                <w:rFonts w:eastAsia="Calibri"/>
                <w:sz w:val="20"/>
                <w:szCs w:val="20"/>
                <w:lang w:eastAsia="en-US" w:bidi="ar-SA"/>
              </w:rPr>
            </w:pPr>
            <w:r w:rsidRPr="004A34EE">
              <w:rPr>
                <w:rFonts w:eastAsia="Calibri"/>
                <w:noProof/>
                <w:sz w:val="20"/>
                <w:szCs w:val="20"/>
                <w:lang w:bidi="ar-SA"/>
              </w:rPr>
              <mc:AlternateContent>
                <mc:Choice Requires="wps">
                  <w:drawing>
                    <wp:anchor distT="0" distB="0" distL="114300" distR="114300" simplePos="0" relativeHeight="251670016" behindDoc="0" locked="0" layoutInCell="1" allowOverlap="1" wp14:anchorId="7AEEBB08" wp14:editId="338A1EF6">
                      <wp:simplePos x="0" y="0"/>
                      <wp:positionH relativeFrom="column">
                        <wp:posOffset>-52705</wp:posOffset>
                      </wp:positionH>
                      <wp:positionV relativeFrom="paragraph">
                        <wp:posOffset>13970</wp:posOffset>
                      </wp:positionV>
                      <wp:extent cx="692150" cy="317500"/>
                      <wp:effectExtent l="0" t="0" r="31750" b="25400"/>
                      <wp:wrapNone/>
                      <wp:docPr id="3" name="Straight Connector 2"/>
                      <wp:cNvGraphicFramePr/>
                      <a:graphic xmlns:a="http://schemas.openxmlformats.org/drawingml/2006/main">
                        <a:graphicData uri="http://schemas.microsoft.com/office/word/2010/wordprocessingShape">
                          <wps:wsp>
                            <wps:cNvCnPr/>
                            <wps:spPr>
                              <a:xfrm flipH="1" flipV="1">
                                <a:off x="0" y="0"/>
                                <a:ext cx="692150" cy="317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9E8D3E" id="Straight Connector 2"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pt" to="50.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" strokecolor="windowText" strokeweight=".5pt">
                      <v:stroke joinstyle="miter"/>
                    </v:line>
                  </w:pict>
                </mc:Fallback>
              </mc:AlternateContent>
            </w:r>
            <w:r w:rsidRPr="004A34EE">
              <w:rPr>
                <w:rFonts w:eastAsia="Calibri"/>
                <w:sz w:val="20"/>
                <w:szCs w:val="20"/>
                <w:lang w:eastAsia="en-US" w:bidi="ar-SA"/>
              </w:rPr>
              <w:t>Year</w:t>
            </w:r>
          </w:p>
        </w:tc>
        <w:tc>
          <w:tcPr>
            <w:tcW w:w="995"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t=2018</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t=2019</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t=2020</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t=2021</w:t>
            </w:r>
          </w:p>
        </w:tc>
        <w:tc>
          <w:tcPr>
            <w:tcW w:w="993"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t=2022</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t=2023</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t=2024</w:t>
            </w:r>
          </w:p>
        </w:tc>
      </w:tr>
      <w:tr w:rsidR="00622667" w:rsidRPr="00622667" w:rsidTr="004A34EE">
        <w:tc>
          <w:tcPr>
            <w:tcW w:w="1127"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RAB_TN</w:t>
            </w:r>
          </w:p>
        </w:tc>
        <w:tc>
          <w:tcPr>
            <w:tcW w:w="995"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4.720</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9.359</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9.280</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9.201</w:t>
            </w:r>
          </w:p>
        </w:tc>
        <w:tc>
          <w:tcPr>
            <w:tcW w:w="993"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9.123</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9.045</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8.969</w:t>
            </w:r>
          </w:p>
        </w:tc>
      </w:tr>
      <w:tr w:rsidR="00622667" w:rsidRPr="00622667" w:rsidTr="004A34EE">
        <w:tc>
          <w:tcPr>
            <w:tcW w:w="1127"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RAB_T5Y</w:t>
            </w:r>
          </w:p>
        </w:tc>
        <w:tc>
          <w:tcPr>
            <w:tcW w:w="995"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0.490</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0.728</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0.970</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0.794</w:t>
            </w:r>
          </w:p>
        </w:tc>
        <w:tc>
          <w:tcPr>
            <w:tcW w:w="993"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0.597</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0.599</w:t>
            </w:r>
          </w:p>
        </w:tc>
        <w:tc>
          <w:tcPr>
            <w:tcW w:w="992" w:type="dxa"/>
            <w:tcBorders>
              <w:top w:val="single" w:sz="4" w:space="0" w:color="auto"/>
              <w:left w:val="single" w:sz="4" w:space="0" w:color="auto"/>
              <w:bottom w:val="single" w:sz="4" w:space="0" w:color="auto"/>
              <w:right w:val="single" w:sz="4" w:space="0" w:color="auto"/>
            </w:tcBorders>
            <w:hideMark/>
          </w:tcPr>
          <w:p w:rsidR="00622667" w:rsidRPr="004A34EE" w:rsidRDefault="00622667" w:rsidP="00622667">
            <w:pPr>
              <w:rPr>
                <w:rFonts w:eastAsia="Calibri"/>
                <w:sz w:val="20"/>
                <w:szCs w:val="20"/>
                <w:lang w:eastAsia="en-US" w:bidi="ar-SA"/>
              </w:rPr>
            </w:pPr>
            <w:r w:rsidRPr="004A34EE">
              <w:rPr>
                <w:rFonts w:eastAsia="Calibri"/>
                <w:sz w:val="20"/>
                <w:szCs w:val="20"/>
                <w:lang w:eastAsia="en-US" w:bidi="ar-SA"/>
              </w:rPr>
              <w:t>0.605</w:t>
            </w:r>
          </w:p>
        </w:tc>
      </w:tr>
    </w:tbl>
    <w:p w:rsidR="00622667" w:rsidRPr="00622667" w:rsidRDefault="00622667" w:rsidP="00622667">
      <w:pPr>
        <w:widowControl/>
        <w:autoSpaceDE/>
        <w:autoSpaceDN/>
        <w:spacing w:after="160" w:line="256" w:lineRule="auto"/>
        <w:rPr>
          <w:rFonts w:ascii="Calibri" w:eastAsia="Calibri" w:hAnsi="Calibri" w:cs="Times New Roman"/>
          <w:lang w:eastAsia="en-US" w:bidi="ar-SA"/>
        </w:rPr>
      </w:pPr>
    </w:p>
    <w:p w:rsidR="00897266" w:rsidRDefault="00897266" w:rsidP="004A34EE">
      <w:pPr>
        <w:widowControl/>
        <w:tabs>
          <w:tab w:val="left" w:pos="851"/>
        </w:tabs>
        <w:autoSpaceDE/>
        <w:autoSpaceDN/>
        <w:spacing w:after="160" w:line="256" w:lineRule="auto"/>
        <w:ind w:firstLine="709"/>
        <w:rPr>
          <w:rFonts w:eastAsia="Calibri"/>
          <w:b/>
          <w:sz w:val="24"/>
          <w:szCs w:val="24"/>
          <w:lang w:eastAsia="en-US" w:bidi="ar-SA"/>
        </w:rPr>
      </w:pPr>
    </w:p>
    <w:p w:rsidR="00622667" w:rsidRPr="004A34EE" w:rsidRDefault="00622667" w:rsidP="004A34EE">
      <w:pPr>
        <w:widowControl/>
        <w:tabs>
          <w:tab w:val="left" w:pos="851"/>
        </w:tabs>
        <w:autoSpaceDE/>
        <w:autoSpaceDN/>
        <w:spacing w:after="160" w:line="256" w:lineRule="auto"/>
        <w:ind w:firstLine="709"/>
        <w:rPr>
          <w:rFonts w:eastAsia="Calibri"/>
          <w:b/>
          <w:sz w:val="24"/>
          <w:szCs w:val="24"/>
          <w:lang w:eastAsia="en-US" w:bidi="ar-SA"/>
        </w:rPr>
      </w:pPr>
      <w:r w:rsidRPr="004A34EE">
        <w:rPr>
          <w:rFonts w:eastAsia="Calibri"/>
          <w:b/>
          <w:sz w:val="24"/>
          <w:szCs w:val="24"/>
          <w:lang w:eastAsia="en-US" w:bidi="ar-SA"/>
        </w:rPr>
        <w:lastRenderedPageBreak/>
        <w:t>Opex expenditure</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Modification of Annex 2 condition 6.15 (allowed opex other amount)</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6.15. For the purposes of this Annex, in each Regulatory Reporting Year t, the allowed opex other amount (AOO</w:t>
      </w:r>
      <w:r w:rsidRPr="004A34EE">
        <w:rPr>
          <w:rFonts w:eastAsia="Calibri"/>
          <w:sz w:val="24"/>
          <w:szCs w:val="24"/>
          <w:vertAlign w:val="subscript"/>
          <w:lang w:eastAsia="en-US" w:bidi="ar-SA"/>
        </w:rPr>
        <w:t>t</w:t>
      </w:r>
      <w:r w:rsidRPr="004A34EE">
        <w:rPr>
          <w:rFonts w:eastAsia="Calibri"/>
          <w:sz w:val="24"/>
          <w:szCs w:val="24"/>
          <w:lang w:eastAsia="en-US" w:bidi="ar-SA"/>
        </w:rPr>
        <w:t>), being the amounts for other opex items listed immediately below, shall be calculated as follows:</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AOO</w:t>
      </w:r>
      <w:r w:rsidRPr="004A34EE">
        <w:rPr>
          <w:rFonts w:eastAsia="Calibri"/>
          <w:sz w:val="24"/>
          <w:szCs w:val="24"/>
          <w:vertAlign w:val="subscript"/>
          <w:lang w:eastAsia="en-US" w:bidi="ar-SA"/>
        </w:rPr>
        <w:t>t</w:t>
      </w:r>
      <w:r w:rsidRPr="004A34EE">
        <w:rPr>
          <w:rFonts w:eastAsia="Calibri"/>
          <w:sz w:val="24"/>
          <w:szCs w:val="24"/>
          <w:lang w:eastAsia="en-US" w:bidi="ar-SA"/>
        </w:rPr>
        <w:t xml:space="preserve"> = IA</w:t>
      </w:r>
      <w:r w:rsidRPr="004A34EE">
        <w:rPr>
          <w:rFonts w:eastAsia="Calibri"/>
          <w:sz w:val="24"/>
          <w:szCs w:val="24"/>
          <w:vertAlign w:val="subscript"/>
          <w:lang w:eastAsia="en-US" w:bidi="ar-SA"/>
        </w:rPr>
        <w:t>t</w:t>
      </w:r>
      <w:r w:rsidRPr="004A34EE">
        <w:rPr>
          <w:rFonts w:eastAsia="Calibri"/>
          <w:sz w:val="24"/>
          <w:szCs w:val="24"/>
          <w:lang w:eastAsia="en-US" w:bidi="ar-SA"/>
        </w:rPr>
        <w:t xml:space="preserve"> + COL</w:t>
      </w:r>
      <w:r w:rsidRPr="004A34EE">
        <w:rPr>
          <w:rFonts w:eastAsia="Calibri"/>
          <w:sz w:val="24"/>
          <w:szCs w:val="24"/>
          <w:vertAlign w:val="subscript"/>
          <w:lang w:eastAsia="en-US" w:bidi="ar-SA"/>
        </w:rPr>
        <w:t>t</w:t>
      </w:r>
      <w:r w:rsidRPr="004A34EE">
        <w:rPr>
          <w:rFonts w:eastAsia="Calibri"/>
          <w:sz w:val="24"/>
          <w:szCs w:val="24"/>
          <w:lang w:eastAsia="en-US" w:bidi="ar-SA"/>
        </w:rPr>
        <w:t xml:space="preserve"> + NES</w:t>
      </w:r>
      <w:r w:rsidRPr="004A34EE">
        <w:rPr>
          <w:rFonts w:eastAsia="Calibri"/>
          <w:sz w:val="24"/>
          <w:szCs w:val="24"/>
          <w:vertAlign w:val="subscript"/>
          <w:lang w:eastAsia="en-US" w:bidi="ar-SA"/>
        </w:rPr>
        <w:t>t</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Where:</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IA</w:t>
      </w:r>
      <w:r w:rsidRPr="004A34EE">
        <w:rPr>
          <w:rFonts w:eastAsia="Calibri"/>
          <w:sz w:val="24"/>
          <w:szCs w:val="24"/>
          <w:vertAlign w:val="subscript"/>
          <w:lang w:eastAsia="en-US" w:bidi="ar-SA"/>
        </w:rPr>
        <w:t>t</w:t>
      </w:r>
      <w:r w:rsidRPr="004A34EE">
        <w:rPr>
          <w:rFonts w:eastAsia="Calibri"/>
          <w:sz w:val="24"/>
          <w:szCs w:val="24"/>
          <w:lang w:eastAsia="en-US" w:bidi="ar-SA"/>
        </w:rPr>
        <w:t xml:space="preserve"> is the allowed opex</w:t>
      </w:r>
      <w:r w:rsidR="00F64BF3">
        <w:rPr>
          <w:rFonts w:eastAsia="Calibri"/>
          <w:sz w:val="24"/>
          <w:szCs w:val="24"/>
          <w:lang w:eastAsia="en-US" w:bidi="ar-SA"/>
        </w:rPr>
        <w:t xml:space="preserve"> amount</w:t>
      </w:r>
      <w:r w:rsidRPr="004A34EE">
        <w:rPr>
          <w:rFonts w:eastAsia="Calibri"/>
          <w:sz w:val="24"/>
          <w:szCs w:val="24"/>
          <w:lang w:eastAsia="en-US" w:bidi="ar-SA"/>
        </w:rPr>
        <w:t xml:space="preserve"> (if any) in Regulatory Reporting Year t, for injurious affectation, being the amount that the Authority determines in a published decision to be appropriate for the Licensee to recover in respect of injurious affectation claims in that Regulatory Reporting Year; </w:t>
      </w:r>
    </w:p>
    <w:p w:rsidR="00622667" w:rsidRPr="004A34EE" w:rsidRDefault="00622667"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COL</w:t>
      </w:r>
      <w:r w:rsidRPr="004A34EE">
        <w:rPr>
          <w:rFonts w:eastAsia="Calibri"/>
          <w:sz w:val="24"/>
          <w:szCs w:val="24"/>
          <w:vertAlign w:val="subscript"/>
          <w:lang w:eastAsia="en-US" w:bidi="ar-SA"/>
        </w:rPr>
        <w:t>t</w:t>
      </w:r>
      <w:r w:rsidRPr="004A34EE">
        <w:rPr>
          <w:rFonts w:eastAsia="Calibri"/>
          <w:sz w:val="24"/>
          <w:szCs w:val="24"/>
          <w:lang w:eastAsia="en-US" w:bidi="ar-SA"/>
        </w:rPr>
        <w:t xml:space="preserve"> is the allowed opex </w:t>
      </w:r>
      <w:r w:rsidR="00F64BF3">
        <w:rPr>
          <w:rFonts w:eastAsia="Calibri"/>
          <w:sz w:val="24"/>
          <w:szCs w:val="24"/>
          <w:lang w:eastAsia="en-US" w:bidi="ar-SA"/>
        </w:rPr>
        <w:t xml:space="preserve">amount </w:t>
      </w:r>
      <w:r w:rsidRPr="004A34EE">
        <w:rPr>
          <w:rFonts w:eastAsia="Calibri"/>
          <w:sz w:val="24"/>
          <w:szCs w:val="24"/>
          <w:lang w:eastAsia="en-US" w:bidi="ar-SA"/>
        </w:rPr>
        <w:t>(if any) for changes of law, in an amount determined by the Authority to be appropriate in accordance with paragraph 6.16; and</w:t>
      </w:r>
    </w:p>
    <w:p w:rsidR="0088767E" w:rsidRPr="004A34EE" w:rsidRDefault="0088767E" w:rsidP="0088767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NES</w:t>
      </w:r>
      <w:r w:rsidRPr="004A34EE">
        <w:rPr>
          <w:rFonts w:eastAsia="Calibri"/>
          <w:sz w:val="24"/>
          <w:szCs w:val="24"/>
          <w:vertAlign w:val="subscript"/>
          <w:lang w:eastAsia="en-US" w:bidi="ar-SA"/>
        </w:rPr>
        <w:t>t</w:t>
      </w:r>
      <w:r w:rsidRPr="004A34EE">
        <w:rPr>
          <w:rFonts w:eastAsia="Calibri"/>
          <w:sz w:val="24"/>
          <w:szCs w:val="24"/>
          <w:lang w:eastAsia="en-US" w:bidi="ar-SA"/>
        </w:rPr>
        <w:t xml:space="preserve"> is the allowed opex amount (if any) in Regulatory Reporting Year t, up to and including Regulatory Reporting Year t=2024 only, being the amount the Authority determines in a published decision, to be appropriate for the Licensee to recover in respect of:</w:t>
      </w:r>
    </w:p>
    <w:p w:rsidR="0088767E" w:rsidRPr="004A34EE" w:rsidRDefault="0088767E" w:rsidP="0088767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w:t>
      </w:r>
      <w:r w:rsidRPr="004A34EE">
        <w:rPr>
          <w:rFonts w:eastAsia="Calibri"/>
          <w:sz w:val="24"/>
          <w:szCs w:val="24"/>
          <w:lang w:eastAsia="en-US" w:bidi="ar-SA"/>
        </w:rPr>
        <w:tab/>
        <w:t xml:space="preserve">a New Energy Strategy IT Solution;  </w:t>
      </w:r>
    </w:p>
    <w:p w:rsidR="0088767E" w:rsidRPr="004A34EE" w:rsidRDefault="0088767E" w:rsidP="004A34EE">
      <w:pPr>
        <w:widowControl/>
        <w:tabs>
          <w:tab w:val="left" w:pos="709"/>
        </w:tabs>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(b)</w:t>
      </w:r>
      <w:r w:rsidRPr="004A34EE">
        <w:rPr>
          <w:rFonts w:eastAsia="Calibri"/>
          <w:sz w:val="24"/>
          <w:szCs w:val="24"/>
          <w:lang w:eastAsia="en-US" w:bidi="ar-SA"/>
        </w:rPr>
        <w:tab/>
        <w:t>any significant changes required to the specification of the information technology systems utilised by the Licensee for the purposes of providing the Market Data Service or the Market Registration Service.</w:t>
      </w:r>
    </w:p>
    <w:p w:rsidR="00535ACD" w:rsidRPr="004C3020" w:rsidRDefault="00535ACD" w:rsidP="00C845B1">
      <w:pPr>
        <w:pStyle w:val="Heading1"/>
        <w:numPr>
          <w:ilvl w:val="0"/>
          <w:numId w:val="0"/>
        </w:numPr>
        <w:rPr>
          <w:sz w:val="28"/>
          <w:szCs w:val="28"/>
        </w:rPr>
      </w:pPr>
      <w:bookmarkStart w:id="12" w:name="_Toc60911994"/>
      <w:r w:rsidRPr="004C3020">
        <w:rPr>
          <w:sz w:val="28"/>
          <w:szCs w:val="28"/>
        </w:rPr>
        <w:t>Reasons and Effects</w:t>
      </w:r>
      <w:bookmarkEnd w:id="12"/>
    </w:p>
    <w:p w:rsidR="00E60736" w:rsidRDefault="000650B7" w:rsidP="00890795">
      <w:pPr>
        <w:pStyle w:val="Heading3"/>
        <w:numPr>
          <w:ilvl w:val="0"/>
          <w:numId w:val="0"/>
        </w:numPr>
        <w:ind w:left="709" w:hanging="709"/>
      </w:pPr>
      <w:r>
        <w:t>3</w:t>
      </w:r>
      <w:r w:rsidR="00535ACD">
        <w:t>.</w:t>
      </w:r>
      <w:r w:rsidR="00890795">
        <w:t>1</w:t>
      </w:r>
      <w:r w:rsidR="0088767E">
        <w:t>1</w:t>
      </w:r>
      <w:r w:rsidR="00535ACD">
        <w:t xml:space="preserve"> </w:t>
      </w:r>
      <w:r w:rsidR="00535ACD">
        <w:tab/>
        <w:t>The reason for the proposed change</w:t>
      </w:r>
      <w:r w:rsidR="00177DC5">
        <w:t>s</w:t>
      </w:r>
      <w:r w:rsidR="00535ACD">
        <w:t xml:space="preserve"> is to </w:t>
      </w:r>
      <w:r w:rsidR="00A719B9">
        <w:t>provide NIE Networks with a mechanism</w:t>
      </w:r>
      <w:r w:rsidR="009D03B8">
        <w:t xml:space="preserve"> to recover cost</w:t>
      </w:r>
      <w:r w:rsidR="00535EAE">
        <w:t xml:space="preserve">s which may be incurred or required to be incurred by it in respect of </w:t>
      </w:r>
      <w:r w:rsidR="009D03B8">
        <w:t>IT enhancements (and other potential projects) within the scope of the DfE Energy Strategy during the time period of RP6.</w:t>
      </w:r>
    </w:p>
    <w:p w:rsidR="009D03B8" w:rsidRDefault="000650B7" w:rsidP="00890795">
      <w:pPr>
        <w:pStyle w:val="Heading3"/>
        <w:numPr>
          <w:ilvl w:val="0"/>
          <w:numId w:val="0"/>
        </w:numPr>
        <w:ind w:left="709" w:hanging="709"/>
      </w:pPr>
      <w:r>
        <w:t>3</w:t>
      </w:r>
      <w:r w:rsidR="009D03B8">
        <w:t>.1</w:t>
      </w:r>
      <w:r w:rsidR="0088767E">
        <w:t>2</w:t>
      </w:r>
      <w:r w:rsidR="009D03B8">
        <w:tab/>
        <w:t>The effects of the modifications will enable NIE Networks to submit projects for approval in relation to the recovery of costs incurred by NIE Networks in respect of DfE Energy Strategy which are not otherwise recoverable by NIE Networks through any other means or mechanism</w:t>
      </w:r>
      <w:r w:rsidR="00B62A84">
        <w:t>s</w:t>
      </w:r>
      <w:r w:rsidR="009D03B8">
        <w:t>.</w:t>
      </w:r>
    </w:p>
    <w:p w:rsidR="009D03B8" w:rsidRDefault="000650B7" w:rsidP="00890795">
      <w:pPr>
        <w:pStyle w:val="Heading3"/>
        <w:numPr>
          <w:ilvl w:val="0"/>
          <w:numId w:val="0"/>
        </w:numPr>
        <w:ind w:left="709" w:hanging="709"/>
      </w:pPr>
      <w:r>
        <w:t>3</w:t>
      </w:r>
      <w:r w:rsidR="009D03B8">
        <w:t>.1</w:t>
      </w:r>
      <w:r w:rsidR="0088767E">
        <w:t>3</w:t>
      </w:r>
      <w:r w:rsidR="009D03B8">
        <w:tab/>
        <w:t>Once these licence modification</w:t>
      </w:r>
      <w:r w:rsidR="00AD6740">
        <w:t>s</w:t>
      </w:r>
      <w:r w:rsidR="009D03B8">
        <w:t xml:space="preserve"> have been implemented NIE Networks can submit a request</w:t>
      </w:r>
      <w:r w:rsidR="00AD6740">
        <w:t xml:space="preserve"> to recoup any necessary efficiently incurred costs in respect of DfE Energy Strategy IT enhancements</w:t>
      </w:r>
      <w:r w:rsidR="009D03B8">
        <w:t xml:space="preserve"> for</w:t>
      </w:r>
      <w:r w:rsidR="00AD6740">
        <w:t xml:space="preserve"> UR</w:t>
      </w:r>
      <w:r w:rsidR="009D03B8">
        <w:t xml:space="preserve"> approval. </w:t>
      </w:r>
    </w:p>
    <w:p w:rsidR="00E94A57" w:rsidRDefault="000650B7" w:rsidP="00897266">
      <w:pPr>
        <w:pStyle w:val="Heading3"/>
        <w:numPr>
          <w:ilvl w:val="0"/>
          <w:numId w:val="0"/>
        </w:numPr>
        <w:ind w:left="709" w:hanging="709"/>
      </w:pPr>
      <w:r>
        <w:t>3</w:t>
      </w:r>
      <w:r w:rsidR="009D03B8">
        <w:t>.1</w:t>
      </w:r>
      <w:r w:rsidR="0088767E">
        <w:t>4</w:t>
      </w:r>
      <w:r w:rsidR="009D03B8">
        <w:t xml:space="preserve"> </w:t>
      </w:r>
      <w:r w:rsidR="009D03B8">
        <w:tab/>
        <w:t>The UR will consider</w:t>
      </w:r>
      <w:r w:rsidR="000F0C52">
        <w:t xml:space="preserve"> any such submission</w:t>
      </w:r>
      <w:r w:rsidR="009D03B8">
        <w:t xml:space="preserve"> in line with our duties and if approved we will publish our decision. </w:t>
      </w:r>
    </w:p>
    <w:p w:rsidR="00C316C8" w:rsidRDefault="002F3C51" w:rsidP="000650B7">
      <w:pPr>
        <w:pStyle w:val="Heading1"/>
        <w:numPr>
          <w:ilvl w:val="0"/>
          <w:numId w:val="14"/>
        </w:numPr>
      </w:pPr>
      <w:bookmarkStart w:id="13" w:name="_Toc60911995"/>
      <w:bookmarkEnd w:id="8"/>
      <w:r>
        <w:lastRenderedPageBreak/>
        <w:t>N</w:t>
      </w:r>
      <w:r w:rsidR="000D542F">
        <w:t xml:space="preserve">ext </w:t>
      </w:r>
      <w:r w:rsidR="00C316C8">
        <w:t>Steps</w:t>
      </w:r>
      <w:bookmarkEnd w:id="13"/>
    </w:p>
    <w:p w:rsidR="00C316C8" w:rsidRDefault="000650B7" w:rsidP="003661DC">
      <w:pPr>
        <w:pStyle w:val="Heading3"/>
        <w:numPr>
          <w:ilvl w:val="0"/>
          <w:numId w:val="0"/>
        </w:numPr>
        <w:ind w:left="851" w:hanging="851"/>
      </w:pPr>
      <w:r>
        <w:t xml:space="preserve">4.1 </w:t>
      </w:r>
      <w:r>
        <w:tab/>
      </w:r>
      <w:r w:rsidR="00C316C8">
        <w:t xml:space="preserve">This paper represents the Utility Regulator’s proposals on modifications to NIE Networks Distribution </w:t>
      </w:r>
      <w:r w:rsidR="00C316C8" w:rsidRPr="004A34EE">
        <w:t>and Transmission</w:t>
      </w:r>
      <w:r w:rsidR="00C316C8">
        <w:t xml:space="preserve"> licence. Table 1 summarises the next steps and associated timelines for the licence modification process. We note that timelines are indicative at this stage and may be subject to change. </w:t>
      </w:r>
    </w:p>
    <w:p w:rsidR="00C316C8" w:rsidRPr="004C3020" w:rsidRDefault="000650B7" w:rsidP="003661DC">
      <w:pPr>
        <w:pStyle w:val="Heading3"/>
        <w:numPr>
          <w:ilvl w:val="0"/>
          <w:numId w:val="0"/>
        </w:numPr>
        <w:ind w:left="851" w:hanging="851"/>
        <w:rPr>
          <w:strike/>
        </w:rPr>
      </w:pPr>
      <w:r>
        <w:t xml:space="preserve">4.2 </w:t>
      </w:r>
      <w:r>
        <w:tab/>
      </w:r>
      <w:r w:rsidR="00C316C8">
        <w:t xml:space="preserve">Once </w:t>
      </w:r>
      <w:r w:rsidR="00B62A84">
        <w:t>th</w:t>
      </w:r>
      <w:r w:rsidR="00AB4C96">
        <w:t>e</w:t>
      </w:r>
      <w:r w:rsidR="00B62A84">
        <w:t xml:space="preserve"> </w:t>
      </w:r>
      <w:r w:rsidR="00C316C8">
        <w:t>licence modification</w:t>
      </w:r>
      <w:r w:rsidR="00AB4C96">
        <w:t>s</w:t>
      </w:r>
      <w:r w:rsidR="00C316C8">
        <w:t xml:space="preserve"> have been implemented we would expect NIE Networks to submit a request for approval </w:t>
      </w:r>
      <w:r w:rsidR="00B62A84">
        <w:t xml:space="preserve">for </w:t>
      </w:r>
      <w:r w:rsidR="00C316C8" w:rsidRPr="004A34EE">
        <w:t>an amount to be added to the RAB.</w:t>
      </w:r>
    </w:p>
    <w:p w:rsidR="003A6F32" w:rsidRPr="00250426" w:rsidRDefault="003A6F32" w:rsidP="00481F07">
      <w:pPr>
        <w:pStyle w:val="Heading3"/>
        <w:numPr>
          <w:ilvl w:val="0"/>
          <w:numId w:val="0"/>
        </w:numPr>
        <w:ind w:left="851"/>
        <w:rPr>
          <w:b/>
          <w:strike/>
        </w:rPr>
      </w:pPr>
      <w:r w:rsidRPr="00250426">
        <w:rPr>
          <w:b/>
        </w:rPr>
        <w:t>Table 1: Indicative timelines for next steps</w:t>
      </w:r>
    </w:p>
    <w:tbl>
      <w:tblPr>
        <w:tblStyle w:val="TableGrid"/>
        <w:tblW w:w="0" w:type="auto"/>
        <w:tblInd w:w="851" w:type="dxa"/>
        <w:tblBorders>
          <w:top w:val="single" w:sz="12" w:space="0" w:color="7C7C7C"/>
          <w:left w:val="single" w:sz="12" w:space="0" w:color="7C7C7C"/>
          <w:bottom w:val="single" w:sz="12" w:space="0" w:color="7C7C7C"/>
          <w:right w:val="single" w:sz="12" w:space="0" w:color="7C7C7C"/>
          <w:insideH w:val="single" w:sz="12" w:space="0" w:color="7C7C7C"/>
          <w:insideV w:val="single" w:sz="12" w:space="0" w:color="7C7C7C"/>
        </w:tblBorders>
        <w:tblLook w:val="04A0" w:firstRow="1" w:lastRow="0" w:firstColumn="1" w:lastColumn="0" w:noHBand="0" w:noVBand="1"/>
      </w:tblPr>
      <w:tblGrid>
        <w:gridCol w:w="5797"/>
        <w:gridCol w:w="2352"/>
      </w:tblGrid>
      <w:tr w:rsidR="00415B13" w:rsidRPr="00250426" w:rsidTr="004C3020">
        <w:tc>
          <w:tcPr>
            <w:tcW w:w="5797" w:type="dxa"/>
            <w:shd w:val="clear" w:color="auto" w:fill="006602"/>
          </w:tcPr>
          <w:p w:rsidR="00415B13" w:rsidRPr="00250426" w:rsidRDefault="000A587A" w:rsidP="004C3020">
            <w:pPr>
              <w:pStyle w:val="URTabletext"/>
              <w:spacing w:before="80" w:after="80"/>
              <w:jc w:val="center"/>
              <w:rPr>
                <w:b/>
                <w:color w:val="FFFFFF" w:themeColor="background1"/>
                <w:sz w:val="24"/>
              </w:rPr>
            </w:pPr>
            <w:r w:rsidRPr="00250426">
              <w:rPr>
                <w:b/>
                <w:color w:val="FFFFFF" w:themeColor="background1"/>
                <w:sz w:val="24"/>
              </w:rPr>
              <w:t>Next Steps</w:t>
            </w:r>
          </w:p>
        </w:tc>
        <w:tc>
          <w:tcPr>
            <w:tcW w:w="2352" w:type="dxa"/>
            <w:shd w:val="clear" w:color="auto" w:fill="006602"/>
          </w:tcPr>
          <w:p w:rsidR="00415B13" w:rsidRPr="00250426" w:rsidRDefault="000A587A" w:rsidP="004C3020">
            <w:pPr>
              <w:pStyle w:val="URTabletext"/>
              <w:jc w:val="center"/>
              <w:rPr>
                <w:b/>
                <w:color w:val="FFFFFF" w:themeColor="background1"/>
                <w:sz w:val="24"/>
              </w:rPr>
            </w:pPr>
            <w:r w:rsidRPr="00250426">
              <w:rPr>
                <w:b/>
                <w:color w:val="FFFFFF" w:themeColor="background1"/>
                <w:sz w:val="24"/>
              </w:rPr>
              <w:t>Proposed date</w:t>
            </w:r>
          </w:p>
        </w:tc>
      </w:tr>
      <w:tr w:rsidR="00F01236" w:rsidRPr="00250426" w:rsidTr="004C3020">
        <w:tc>
          <w:tcPr>
            <w:tcW w:w="5797" w:type="dxa"/>
          </w:tcPr>
          <w:p w:rsidR="00F01236" w:rsidRPr="00250426" w:rsidRDefault="000A587A" w:rsidP="00B62A84">
            <w:pPr>
              <w:pStyle w:val="URTabletext"/>
              <w:spacing w:before="80" w:after="80"/>
              <w:rPr>
                <w:sz w:val="24"/>
              </w:rPr>
            </w:pPr>
            <w:r w:rsidRPr="00250426">
              <w:rPr>
                <w:sz w:val="24"/>
              </w:rPr>
              <w:t>Notice of proposal to modify Distribution</w:t>
            </w:r>
            <w:r w:rsidR="002B39D9">
              <w:rPr>
                <w:sz w:val="24"/>
              </w:rPr>
              <w:t xml:space="preserve"> and Transmission</w:t>
            </w:r>
            <w:r w:rsidRPr="00250426">
              <w:rPr>
                <w:sz w:val="24"/>
              </w:rPr>
              <w:t xml:space="preserve"> licence</w:t>
            </w:r>
            <w:r w:rsidR="00AB4C96">
              <w:rPr>
                <w:sz w:val="24"/>
              </w:rPr>
              <w:t>s</w:t>
            </w:r>
            <w:r w:rsidRPr="00250426">
              <w:rPr>
                <w:sz w:val="24"/>
              </w:rPr>
              <w:t xml:space="preserve"> published</w:t>
            </w:r>
          </w:p>
        </w:tc>
        <w:tc>
          <w:tcPr>
            <w:tcW w:w="2352" w:type="dxa"/>
          </w:tcPr>
          <w:p w:rsidR="00F01236" w:rsidRPr="004A34EE" w:rsidRDefault="00F81FEB" w:rsidP="00415B13">
            <w:pPr>
              <w:pStyle w:val="URTabletext"/>
              <w:rPr>
                <w:sz w:val="24"/>
                <w:highlight w:val="yellow"/>
              </w:rPr>
            </w:pPr>
            <w:r>
              <w:rPr>
                <w:sz w:val="24"/>
              </w:rPr>
              <w:t>5 March</w:t>
            </w:r>
            <w:r w:rsidR="00F202DE" w:rsidRPr="004A34EE">
              <w:rPr>
                <w:sz w:val="24"/>
              </w:rPr>
              <w:t xml:space="preserve"> 2021</w:t>
            </w:r>
          </w:p>
        </w:tc>
      </w:tr>
      <w:tr w:rsidR="003A6F32" w:rsidRPr="00250426" w:rsidTr="004C3020">
        <w:tc>
          <w:tcPr>
            <w:tcW w:w="5797" w:type="dxa"/>
          </w:tcPr>
          <w:p w:rsidR="003A6F32" w:rsidRPr="00250426" w:rsidRDefault="003A6F32" w:rsidP="003A6F32">
            <w:pPr>
              <w:pStyle w:val="URTabletext"/>
              <w:spacing w:before="80" w:after="80"/>
              <w:rPr>
                <w:sz w:val="24"/>
              </w:rPr>
            </w:pPr>
            <w:r w:rsidRPr="00250426">
              <w:rPr>
                <w:sz w:val="24"/>
              </w:rPr>
              <w:t>Statutory consultation closes</w:t>
            </w:r>
          </w:p>
        </w:tc>
        <w:tc>
          <w:tcPr>
            <w:tcW w:w="2352" w:type="dxa"/>
          </w:tcPr>
          <w:p w:rsidR="003A6F32" w:rsidRPr="00FD61DD" w:rsidRDefault="00F81FEB" w:rsidP="003A6F32">
            <w:pPr>
              <w:pStyle w:val="URTabletext"/>
              <w:rPr>
                <w:sz w:val="24"/>
              </w:rPr>
            </w:pPr>
            <w:r>
              <w:rPr>
                <w:sz w:val="24"/>
              </w:rPr>
              <w:t>5 April</w:t>
            </w:r>
            <w:r w:rsidR="00F202DE" w:rsidRPr="004A34EE">
              <w:rPr>
                <w:sz w:val="24"/>
              </w:rPr>
              <w:t xml:space="preserve"> 2021</w:t>
            </w:r>
          </w:p>
        </w:tc>
      </w:tr>
      <w:tr w:rsidR="003A6F32" w:rsidRPr="00250426" w:rsidTr="004C3020">
        <w:tc>
          <w:tcPr>
            <w:tcW w:w="5797" w:type="dxa"/>
          </w:tcPr>
          <w:p w:rsidR="003A6F32" w:rsidRPr="00250426" w:rsidRDefault="003A6F32" w:rsidP="003A6F32">
            <w:pPr>
              <w:pStyle w:val="URTabletext"/>
              <w:spacing w:before="80" w:after="80"/>
              <w:rPr>
                <w:sz w:val="24"/>
              </w:rPr>
            </w:pPr>
            <w:r w:rsidRPr="00250426">
              <w:rPr>
                <w:sz w:val="24"/>
              </w:rPr>
              <w:t xml:space="preserve">Notice of decision to modify Distribution </w:t>
            </w:r>
            <w:r w:rsidRPr="00250426">
              <w:rPr>
                <w:strike/>
                <w:sz w:val="24"/>
              </w:rPr>
              <w:t>a</w:t>
            </w:r>
            <w:r w:rsidRPr="004A34EE">
              <w:rPr>
                <w:sz w:val="24"/>
              </w:rPr>
              <w:t>nd Transmission</w:t>
            </w:r>
            <w:r w:rsidRPr="002B39D9">
              <w:rPr>
                <w:sz w:val="24"/>
              </w:rPr>
              <w:t xml:space="preserve"> </w:t>
            </w:r>
            <w:r w:rsidRPr="00250426">
              <w:rPr>
                <w:sz w:val="24"/>
              </w:rPr>
              <w:t>licence</w:t>
            </w:r>
            <w:r w:rsidR="00AB4C96">
              <w:rPr>
                <w:sz w:val="24"/>
              </w:rPr>
              <w:t>s</w:t>
            </w:r>
            <w:r w:rsidRPr="00250426">
              <w:rPr>
                <w:sz w:val="24"/>
              </w:rPr>
              <w:t xml:space="preserve"> published</w:t>
            </w:r>
          </w:p>
        </w:tc>
        <w:tc>
          <w:tcPr>
            <w:tcW w:w="2352" w:type="dxa"/>
          </w:tcPr>
          <w:p w:rsidR="003A6F32" w:rsidRPr="00FD61DD" w:rsidRDefault="00F202DE" w:rsidP="003A6F32">
            <w:pPr>
              <w:pStyle w:val="URTabletext"/>
              <w:rPr>
                <w:sz w:val="24"/>
              </w:rPr>
            </w:pPr>
            <w:r w:rsidRPr="004A34EE">
              <w:rPr>
                <w:sz w:val="24"/>
              </w:rPr>
              <w:t xml:space="preserve">End of </w:t>
            </w:r>
            <w:r w:rsidR="00C41211">
              <w:rPr>
                <w:sz w:val="24"/>
              </w:rPr>
              <w:t>May</w:t>
            </w:r>
            <w:r w:rsidRPr="004A34EE">
              <w:rPr>
                <w:sz w:val="24"/>
              </w:rPr>
              <w:t xml:space="preserve"> 2021</w:t>
            </w:r>
          </w:p>
        </w:tc>
      </w:tr>
      <w:tr w:rsidR="003A6F32" w:rsidRPr="00250426" w:rsidTr="004C3020">
        <w:tc>
          <w:tcPr>
            <w:tcW w:w="5797" w:type="dxa"/>
          </w:tcPr>
          <w:p w:rsidR="003A6F32" w:rsidRPr="00250426" w:rsidRDefault="003A6F32" w:rsidP="003A6F32">
            <w:pPr>
              <w:pStyle w:val="URTabletext"/>
              <w:spacing w:before="80" w:after="80"/>
              <w:rPr>
                <w:sz w:val="24"/>
              </w:rPr>
            </w:pPr>
            <w:r w:rsidRPr="00250426">
              <w:rPr>
                <w:sz w:val="24"/>
              </w:rPr>
              <w:t>Licence modification</w:t>
            </w:r>
            <w:r w:rsidR="00AB4C96">
              <w:rPr>
                <w:sz w:val="24"/>
              </w:rPr>
              <w:t>s</w:t>
            </w:r>
            <w:r w:rsidRPr="00250426">
              <w:rPr>
                <w:sz w:val="24"/>
              </w:rPr>
              <w:t xml:space="preserve"> effective date</w:t>
            </w:r>
          </w:p>
        </w:tc>
        <w:tc>
          <w:tcPr>
            <w:tcW w:w="2352" w:type="dxa"/>
          </w:tcPr>
          <w:p w:rsidR="003A6F32" w:rsidRPr="00FD61DD" w:rsidRDefault="00F202DE" w:rsidP="003A6F32">
            <w:pPr>
              <w:pStyle w:val="URTabletext"/>
              <w:rPr>
                <w:sz w:val="24"/>
              </w:rPr>
            </w:pPr>
            <w:r w:rsidRPr="004A34EE">
              <w:rPr>
                <w:sz w:val="24"/>
              </w:rPr>
              <w:t>End of July 2021</w:t>
            </w:r>
          </w:p>
        </w:tc>
      </w:tr>
    </w:tbl>
    <w:p w:rsidR="00AD1D6A" w:rsidRDefault="00AD1D6A" w:rsidP="00287F94">
      <w:pPr>
        <w:pStyle w:val="BodyText"/>
        <w:spacing w:before="8" w:line="276" w:lineRule="auto"/>
        <w:ind w:left="830"/>
        <w:rPr>
          <w:strike/>
        </w:rPr>
      </w:pPr>
    </w:p>
    <w:p w:rsidR="00287F94" w:rsidRDefault="00287F94" w:rsidP="00287F94">
      <w:pPr>
        <w:pStyle w:val="BodyText"/>
        <w:spacing w:before="8" w:line="276" w:lineRule="auto"/>
        <w:ind w:left="830"/>
        <w:rPr>
          <w:b/>
          <w:sz w:val="18"/>
        </w:rPr>
      </w:pPr>
    </w:p>
    <w:p w:rsidR="00AD1D6A" w:rsidRDefault="00AD1D6A" w:rsidP="00AB4DDA">
      <w:pPr>
        <w:pStyle w:val="Heading1"/>
        <w:numPr>
          <w:ilvl w:val="0"/>
          <w:numId w:val="14"/>
        </w:numPr>
      </w:pPr>
      <w:bookmarkStart w:id="14" w:name="_Toc60911996"/>
      <w:r>
        <w:t>Annexes</w:t>
      </w:r>
      <w:bookmarkEnd w:id="14"/>
    </w:p>
    <w:p w:rsidR="00287F94" w:rsidRDefault="000650B7" w:rsidP="004A34EE">
      <w:pPr>
        <w:pStyle w:val="Heading1"/>
        <w:numPr>
          <w:ilvl w:val="1"/>
          <w:numId w:val="19"/>
        </w:numPr>
        <w:rPr>
          <w:b w:val="0"/>
          <w:sz w:val="24"/>
          <w:szCs w:val="24"/>
        </w:rPr>
      </w:pPr>
      <w:bookmarkStart w:id="15" w:name="_Toc60911997"/>
      <w:r>
        <w:rPr>
          <w:b w:val="0"/>
          <w:sz w:val="24"/>
          <w:szCs w:val="24"/>
        </w:rPr>
        <w:tab/>
      </w:r>
      <w:r w:rsidR="00AD1D6A">
        <w:rPr>
          <w:b w:val="0"/>
          <w:sz w:val="24"/>
          <w:szCs w:val="24"/>
        </w:rPr>
        <w:t>Table 2 provides an overview of the annexes to this consultation document</w:t>
      </w:r>
      <w:bookmarkEnd w:id="15"/>
    </w:p>
    <w:p w:rsidR="00DB0004" w:rsidRPr="004A34EE" w:rsidRDefault="00DB0004" w:rsidP="004A34EE">
      <w:pPr>
        <w:pStyle w:val="Heading2"/>
        <w:numPr>
          <w:ilvl w:val="0"/>
          <w:numId w:val="0"/>
        </w:numPr>
        <w:ind w:left="709"/>
        <w:rPr>
          <w:b w:val="0"/>
          <w:sz w:val="24"/>
          <w:szCs w:val="24"/>
        </w:rPr>
      </w:pPr>
      <w:r w:rsidRPr="004A34EE">
        <w:rPr>
          <w:b w:val="0"/>
          <w:sz w:val="24"/>
          <w:szCs w:val="24"/>
        </w:rPr>
        <w:t>Annexes A to B sets out, for each licence, the proposed modifications tracked against the current licence</w:t>
      </w:r>
      <w:r>
        <w:rPr>
          <w:b w:val="0"/>
          <w:sz w:val="24"/>
          <w:szCs w:val="24"/>
        </w:rPr>
        <w:t xml:space="preserve"> </w:t>
      </w:r>
      <w:r w:rsidRPr="004A34EE">
        <w:rPr>
          <w:b w:val="0"/>
          <w:sz w:val="24"/>
          <w:szCs w:val="24"/>
        </w:rPr>
        <w:t>drafting.</w:t>
      </w:r>
    </w:p>
    <w:p w:rsidR="00DB0004" w:rsidRPr="004A34EE" w:rsidRDefault="00DB0004" w:rsidP="004A34EE">
      <w:pPr>
        <w:pStyle w:val="Heading2"/>
        <w:numPr>
          <w:ilvl w:val="0"/>
          <w:numId w:val="0"/>
        </w:numPr>
        <w:ind w:left="709"/>
        <w:rPr>
          <w:b w:val="0"/>
          <w:sz w:val="24"/>
          <w:szCs w:val="24"/>
        </w:rPr>
      </w:pPr>
      <w:r w:rsidRPr="004A34EE">
        <w:rPr>
          <w:b w:val="0"/>
          <w:sz w:val="24"/>
          <w:szCs w:val="24"/>
        </w:rPr>
        <w:t>Annex C and D represents the notice</w:t>
      </w:r>
      <w:r>
        <w:rPr>
          <w:b w:val="0"/>
          <w:sz w:val="24"/>
          <w:szCs w:val="24"/>
        </w:rPr>
        <w:t>s</w:t>
      </w:r>
      <w:r w:rsidRPr="004A34EE">
        <w:rPr>
          <w:b w:val="0"/>
          <w:sz w:val="24"/>
          <w:szCs w:val="24"/>
        </w:rPr>
        <w:t xml:space="preserve"> under Article 14(2) of the Electricity (Northern Ireland) Order 1992 for</w:t>
      </w:r>
      <w:r>
        <w:rPr>
          <w:b w:val="0"/>
          <w:sz w:val="24"/>
          <w:szCs w:val="24"/>
        </w:rPr>
        <w:t xml:space="preserve"> </w:t>
      </w:r>
      <w:r w:rsidRPr="004A34EE">
        <w:rPr>
          <w:b w:val="0"/>
          <w:sz w:val="24"/>
          <w:szCs w:val="24"/>
        </w:rPr>
        <w:t>the two licence modification proposals.</w:t>
      </w:r>
    </w:p>
    <w:p w:rsidR="00D307E8" w:rsidRDefault="00481F07" w:rsidP="00130701">
      <w:pPr>
        <w:pStyle w:val="BodyText"/>
        <w:tabs>
          <w:tab w:val="left" w:pos="851"/>
          <w:tab w:val="left" w:pos="993"/>
        </w:tabs>
        <w:spacing w:line="276" w:lineRule="auto"/>
        <w:ind w:left="110" w:right="187"/>
        <w:rPr>
          <w:b/>
          <w:color w:val="231F20"/>
        </w:rPr>
      </w:pPr>
      <w:r>
        <w:rPr>
          <w:color w:val="231F20"/>
        </w:rPr>
        <w:tab/>
      </w:r>
      <w:r w:rsidR="00130701" w:rsidRPr="00250426">
        <w:rPr>
          <w:b/>
          <w:color w:val="231F20"/>
        </w:rPr>
        <w:t>Table 2: Overview of Annexes</w:t>
      </w:r>
    </w:p>
    <w:p w:rsidR="00250426" w:rsidRPr="00250426" w:rsidRDefault="00250426" w:rsidP="00130701">
      <w:pPr>
        <w:pStyle w:val="BodyText"/>
        <w:tabs>
          <w:tab w:val="left" w:pos="851"/>
          <w:tab w:val="left" w:pos="993"/>
        </w:tabs>
        <w:spacing w:line="276" w:lineRule="auto"/>
        <w:ind w:left="110" w:right="187"/>
        <w:rPr>
          <w:b/>
          <w:color w:val="231F20"/>
        </w:rPr>
      </w:pPr>
    </w:p>
    <w:tbl>
      <w:tblPr>
        <w:tblStyle w:val="TableGrid"/>
        <w:tblW w:w="8221" w:type="dxa"/>
        <w:tblInd w:w="846" w:type="dxa"/>
        <w:tblLook w:val="04A0" w:firstRow="1" w:lastRow="0" w:firstColumn="1" w:lastColumn="0" w:noHBand="0" w:noVBand="1"/>
      </w:tblPr>
      <w:tblGrid>
        <w:gridCol w:w="2268"/>
        <w:gridCol w:w="5953"/>
      </w:tblGrid>
      <w:tr w:rsidR="00AD1D6A" w:rsidRPr="00250426" w:rsidTr="00481F07">
        <w:tc>
          <w:tcPr>
            <w:tcW w:w="2268" w:type="dxa"/>
            <w:shd w:val="clear" w:color="auto" w:fill="006602"/>
          </w:tcPr>
          <w:p w:rsidR="00AD1D6A" w:rsidRPr="00250426" w:rsidRDefault="00130701" w:rsidP="004C3020">
            <w:pPr>
              <w:spacing w:line="276" w:lineRule="auto"/>
              <w:jc w:val="center"/>
              <w:rPr>
                <w:color w:val="FFFFFF" w:themeColor="background1"/>
                <w:sz w:val="24"/>
                <w:szCs w:val="24"/>
              </w:rPr>
            </w:pPr>
            <w:r w:rsidRPr="00250426">
              <w:rPr>
                <w:color w:val="FFFFFF" w:themeColor="background1"/>
                <w:sz w:val="24"/>
                <w:szCs w:val="24"/>
              </w:rPr>
              <w:t>Annex Number</w:t>
            </w:r>
          </w:p>
        </w:tc>
        <w:tc>
          <w:tcPr>
            <w:tcW w:w="5953" w:type="dxa"/>
            <w:shd w:val="clear" w:color="auto" w:fill="006602"/>
          </w:tcPr>
          <w:p w:rsidR="00AD1D6A" w:rsidRPr="00250426" w:rsidRDefault="00130701" w:rsidP="004C3020">
            <w:pPr>
              <w:spacing w:line="276" w:lineRule="auto"/>
              <w:jc w:val="center"/>
              <w:rPr>
                <w:color w:val="FFFFFF" w:themeColor="background1"/>
                <w:sz w:val="24"/>
                <w:szCs w:val="24"/>
              </w:rPr>
            </w:pPr>
            <w:r w:rsidRPr="00250426">
              <w:rPr>
                <w:color w:val="FFFFFF" w:themeColor="background1"/>
                <w:sz w:val="24"/>
                <w:szCs w:val="24"/>
              </w:rPr>
              <w:t>Annex name</w:t>
            </w:r>
          </w:p>
        </w:tc>
      </w:tr>
      <w:tr w:rsidR="00AD1D6A" w:rsidRPr="00250426" w:rsidTr="00481F07">
        <w:tc>
          <w:tcPr>
            <w:tcW w:w="2268" w:type="dxa"/>
          </w:tcPr>
          <w:p w:rsidR="00AD1D6A" w:rsidRPr="00250426" w:rsidRDefault="00130701" w:rsidP="001223C7">
            <w:pPr>
              <w:spacing w:line="276" w:lineRule="auto"/>
              <w:rPr>
                <w:sz w:val="24"/>
                <w:szCs w:val="24"/>
              </w:rPr>
            </w:pPr>
            <w:r w:rsidRPr="00250426">
              <w:rPr>
                <w:sz w:val="24"/>
                <w:szCs w:val="24"/>
              </w:rPr>
              <w:t>Annex A</w:t>
            </w:r>
          </w:p>
        </w:tc>
        <w:tc>
          <w:tcPr>
            <w:tcW w:w="5953" w:type="dxa"/>
          </w:tcPr>
          <w:p w:rsidR="00AD1D6A" w:rsidRPr="00250426" w:rsidRDefault="00130701" w:rsidP="001223C7">
            <w:pPr>
              <w:spacing w:line="276" w:lineRule="auto"/>
              <w:rPr>
                <w:sz w:val="24"/>
                <w:szCs w:val="24"/>
              </w:rPr>
            </w:pPr>
            <w:r w:rsidRPr="00250426">
              <w:rPr>
                <w:sz w:val="24"/>
                <w:szCs w:val="24"/>
              </w:rPr>
              <w:t>Distributio</w:t>
            </w:r>
            <w:r w:rsidR="000A4E65">
              <w:rPr>
                <w:sz w:val="24"/>
                <w:szCs w:val="24"/>
              </w:rPr>
              <w:t>n Licence Proposed Modification</w:t>
            </w:r>
          </w:p>
        </w:tc>
      </w:tr>
      <w:tr w:rsidR="002B39D9" w:rsidRPr="00250426" w:rsidTr="00481F07">
        <w:tc>
          <w:tcPr>
            <w:tcW w:w="2268" w:type="dxa"/>
          </w:tcPr>
          <w:p w:rsidR="002B39D9" w:rsidRPr="00042A46" w:rsidRDefault="002B39D9">
            <w:pPr>
              <w:spacing w:line="276" w:lineRule="auto"/>
              <w:rPr>
                <w:sz w:val="24"/>
                <w:szCs w:val="24"/>
              </w:rPr>
            </w:pPr>
            <w:r w:rsidRPr="004A34EE">
              <w:rPr>
                <w:sz w:val="24"/>
                <w:szCs w:val="24"/>
              </w:rPr>
              <w:t xml:space="preserve">Annex B </w:t>
            </w:r>
          </w:p>
        </w:tc>
        <w:tc>
          <w:tcPr>
            <w:tcW w:w="5953" w:type="dxa"/>
          </w:tcPr>
          <w:p w:rsidR="002B39D9" w:rsidRPr="00713EA7" w:rsidRDefault="002B39D9" w:rsidP="002B39D9">
            <w:pPr>
              <w:spacing w:line="276" w:lineRule="auto"/>
              <w:rPr>
                <w:sz w:val="24"/>
                <w:szCs w:val="24"/>
              </w:rPr>
            </w:pPr>
            <w:r w:rsidRPr="004A34EE">
              <w:rPr>
                <w:sz w:val="24"/>
                <w:szCs w:val="24"/>
              </w:rPr>
              <w:t>Transmission Licence Proposed Modifications</w:t>
            </w:r>
          </w:p>
        </w:tc>
      </w:tr>
      <w:tr w:rsidR="00AD1D6A" w:rsidRPr="00250426" w:rsidTr="00481F07">
        <w:tc>
          <w:tcPr>
            <w:tcW w:w="2268" w:type="dxa"/>
          </w:tcPr>
          <w:p w:rsidR="00AD1D6A" w:rsidRPr="00250426" w:rsidRDefault="00130701" w:rsidP="001223C7">
            <w:pPr>
              <w:spacing w:line="276" w:lineRule="auto"/>
              <w:rPr>
                <w:sz w:val="24"/>
                <w:szCs w:val="24"/>
              </w:rPr>
            </w:pPr>
            <w:r w:rsidRPr="00250426">
              <w:rPr>
                <w:sz w:val="24"/>
                <w:szCs w:val="24"/>
              </w:rPr>
              <w:t xml:space="preserve">Annex </w:t>
            </w:r>
            <w:r w:rsidR="002B39D9">
              <w:rPr>
                <w:sz w:val="24"/>
                <w:szCs w:val="24"/>
              </w:rPr>
              <w:t>C</w:t>
            </w:r>
          </w:p>
        </w:tc>
        <w:tc>
          <w:tcPr>
            <w:tcW w:w="5953" w:type="dxa"/>
          </w:tcPr>
          <w:p w:rsidR="00AD1D6A" w:rsidRPr="00250426" w:rsidRDefault="00130701" w:rsidP="00B62A84">
            <w:pPr>
              <w:spacing w:line="276" w:lineRule="auto"/>
              <w:rPr>
                <w:sz w:val="24"/>
                <w:szCs w:val="24"/>
              </w:rPr>
            </w:pPr>
            <w:r w:rsidRPr="00250426">
              <w:rPr>
                <w:sz w:val="24"/>
                <w:szCs w:val="24"/>
              </w:rPr>
              <w:t xml:space="preserve">Article 14(2) of the Electricity (Northern Ireland) Order 1992 - NIE Networks Distribution Licence </w:t>
            </w:r>
          </w:p>
        </w:tc>
      </w:tr>
      <w:tr w:rsidR="002B39D9" w:rsidRPr="00250426" w:rsidTr="00481F07">
        <w:tc>
          <w:tcPr>
            <w:tcW w:w="2268" w:type="dxa"/>
          </w:tcPr>
          <w:p w:rsidR="002B39D9" w:rsidRPr="00250426" w:rsidRDefault="002B39D9" w:rsidP="001223C7">
            <w:pPr>
              <w:spacing w:line="276" w:lineRule="auto"/>
              <w:rPr>
                <w:sz w:val="24"/>
                <w:szCs w:val="24"/>
              </w:rPr>
            </w:pPr>
            <w:r>
              <w:rPr>
                <w:sz w:val="24"/>
                <w:szCs w:val="24"/>
              </w:rPr>
              <w:t>Annex D</w:t>
            </w:r>
          </w:p>
        </w:tc>
        <w:tc>
          <w:tcPr>
            <w:tcW w:w="5953" w:type="dxa"/>
          </w:tcPr>
          <w:p w:rsidR="002B39D9" w:rsidRPr="00250426" w:rsidRDefault="002B39D9" w:rsidP="002B39D9">
            <w:pPr>
              <w:spacing w:line="276" w:lineRule="auto"/>
              <w:rPr>
                <w:sz w:val="24"/>
                <w:szCs w:val="24"/>
              </w:rPr>
            </w:pPr>
            <w:r w:rsidRPr="002B39D9">
              <w:rPr>
                <w:sz w:val="24"/>
                <w:szCs w:val="24"/>
              </w:rPr>
              <w:t xml:space="preserve">Article 14(2) of the Electricity </w:t>
            </w:r>
            <w:r>
              <w:rPr>
                <w:sz w:val="24"/>
                <w:szCs w:val="24"/>
              </w:rPr>
              <w:t xml:space="preserve">(Northern Ireland) Order 1992 - </w:t>
            </w:r>
            <w:r w:rsidRPr="002B39D9">
              <w:rPr>
                <w:sz w:val="24"/>
                <w:szCs w:val="24"/>
              </w:rPr>
              <w:t>NIE Networks Transmission Licence</w:t>
            </w:r>
          </w:p>
        </w:tc>
      </w:tr>
    </w:tbl>
    <w:p w:rsidR="001014D3" w:rsidRDefault="001014D3" w:rsidP="001014D3"/>
    <w:p w:rsidR="007E229B" w:rsidRDefault="003A6F32" w:rsidP="004A34EE">
      <w:pPr>
        <w:pStyle w:val="URExecSumparagraph"/>
        <w:ind w:left="720"/>
        <w:rPr>
          <w:b/>
          <w:sz w:val="40"/>
          <w:szCs w:val="40"/>
        </w:rPr>
      </w:pPr>
      <w:r w:rsidRPr="00E35E94">
        <w:rPr>
          <w:b/>
          <w:sz w:val="40"/>
          <w:szCs w:val="40"/>
        </w:rPr>
        <w:t xml:space="preserve">Annex </w:t>
      </w:r>
      <w:r>
        <w:rPr>
          <w:b/>
          <w:sz w:val="40"/>
          <w:szCs w:val="40"/>
        </w:rPr>
        <w:t>A</w:t>
      </w:r>
      <w:r w:rsidR="00347B6C">
        <w:rPr>
          <w:b/>
          <w:sz w:val="40"/>
          <w:szCs w:val="40"/>
        </w:rPr>
        <w:t xml:space="preserve"> - </w:t>
      </w:r>
      <w:r>
        <w:rPr>
          <w:b/>
          <w:sz w:val="40"/>
          <w:szCs w:val="40"/>
        </w:rPr>
        <w:t>NIE Networks Distribution Licence</w:t>
      </w:r>
    </w:p>
    <w:p w:rsidR="007E229B" w:rsidRPr="007E229B" w:rsidRDefault="007E229B" w:rsidP="000A4E65">
      <w:pPr>
        <w:pStyle w:val="URExecSumparagraph"/>
        <w:ind w:left="720"/>
        <w:rPr>
          <w:rStyle w:val="Hyperlink"/>
        </w:rPr>
      </w:pPr>
      <w:r>
        <w:fldChar w:fldCharType="begin"/>
      </w:r>
      <w:r>
        <w:instrText xml:space="preserve"> HYPERLINK "https://www.uregni.gov.uk/sites/uregni/files/media-files/NIE%20Distribution%20Licence%20-%20effective%2018%2001%202020.pdf" </w:instrText>
      </w:r>
      <w:r>
        <w:fldChar w:fldCharType="separate"/>
      </w:r>
      <w:r w:rsidRPr="007E229B">
        <w:rPr>
          <w:rStyle w:val="Hyperlink"/>
        </w:rPr>
        <w:t>https://www.uregni.gov.uk/sites/uregni/files/mediafiles/NIE%20Distribution%20Licence%20%20effective%2018%2001%202020.pdf</w:t>
      </w:r>
    </w:p>
    <w:p w:rsidR="007E229B" w:rsidRPr="000571AD" w:rsidRDefault="007E229B" w:rsidP="000A4E65">
      <w:pPr>
        <w:pStyle w:val="URExecSumparagraph"/>
        <w:ind w:left="720"/>
        <w:rPr>
          <w:b/>
        </w:rPr>
      </w:pPr>
      <w:r>
        <w:fldChar w:fldCharType="end"/>
      </w:r>
      <w:r w:rsidRPr="004A34EE">
        <w:rPr>
          <w:b/>
        </w:rPr>
        <w:t>Annex 2 – Distribution Charge Restriction Conditions</w:t>
      </w:r>
    </w:p>
    <w:p w:rsidR="000571AD" w:rsidRPr="004A34EE" w:rsidRDefault="00F94C0E" w:rsidP="000A4E65">
      <w:pPr>
        <w:pStyle w:val="URExecSumparagraph"/>
        <w:ind w:left="720"/>
      </w:pPr>
      <w:r>
        <w:t>In section 1. Definitions,</w:t>
      </w:r>
      <w:r w:rsidR="000571AD" w:rsidRPr="004A34EE">
        <w:t xml:space="preserve"> paragraph 1.1 of Annex </w:t>
      </w:r>
      <w:r>
        <w:t>2, the following new definition</w:t>
      </w:r>
      <w:r w:rsidR="000571AD" w:rsidRPr="004A34EE">
        <w:t xml:space="preserve"> shall be inserted (in alphabetical order) –</w:t>
      </w:r>
    </w:p>
    <w:p w:rsidR="00176A4C" w:rsidRPr="004A34EE" w:rsidRDefault="00176A4C" w:rsidP="00176A4C">
      <w:pPr>
        <w:pStyle w:val="URExecSumparagraph"/>
        <w:ind w:left="720"/>
        <w:rPr>
          <w:color w:val="FF0000"/>
        </w:rPr>
      </w:pPr>
      <w:r w:rsidRPr="004A34EE">
        <w:rPr>
          <w:color w:val="FF0000"/>
        </w:rPr>
        <w:t>“New Energy Strategy IT Solution” means a new information technology system that is required by the Licensee's Distribution Business for the purposes of implementing any new energy policy which:</w:t>
      </w:r>
    </w:p>
    <w:p w:rsidR="00176A4C" w:rsidRPr="004A34EE" w:rsidRDefault="00176A4C" w:rsidP="00176A4C">
      <w:pPr>
        <w:pStyle w:val="URExecSumparagraph"/>
        <w:ind w:left="720"/>
        <w:rPr>
          <w:color w:val="FF0000"/>
        </w:rPr>
      </w:pPr>
      <w:r w:rsidRPr="004A34EE">
        <w:rPr>
          <w:color w:val="FF0000"/>
        </w:rPr>
        <w:t>(a)</w:t>
      </w:r>
      <w:r w:rsidRPr="004A34EE">
        <w:rPr>
          <w:color w:val="FF0000"/>
        </w:rPr>
        <w:tab/>
        <w:t xml:space="preserve"> is introduced by a competent authority; and </w:t>
      </w:r>
    </w:p>
    <w:p w:rsidR="00176A4C" w:rsidRPr="00D43447" w:rsidRDefault="00176A4C" w:rsidP="00D43447">
      <w:pPr>
        <w:pStyle w:val="URExecSumparagraph"/>
        <w:ind w:left="720"/>
        <w:rPr>
          <w:color w:val="FF0000"/>
        </w:rPr>
      </w:pPr>
      <w:r w:rsidRPr="004A34EE">
        <w:rPr>
          <w:color w:val="FF0000"/>
        </w:rPr>
        <w:t>(b)</w:t>
      </w:r>
      <w:r w:rsidRPr="004A34EE">
        <w:rPr>
          <w:color w:val="FF0000"/>
        </w:rPr>
        <w:tab/>
        <w:t>requires a change to be made to the specification of services provided by the Licensee's Distribution Business.</w:t>
      </w:r>
    </w:p>
    <w:p w:rsidR="000571AD" w:rsidRDefault="000571AD" w:rsidP="000A4E65">
      <w:pPr>
        <w:pStyle w:val="URExecSumparagraph"/>
        <w:ind w:left="720"/>
      </w:pPr>
      <w:r w:rsidRPr="004A34EE">
        <w:t xml:space="preserve">In section </w:t>
      </w:r>
      <w:r w:rsidRPr="00151657">
        <w:rPr>
          <w:b/>
        </w:rPr>
        <w:t>4.</w:t>
      </w:r>
      <w:r w:rsidRPr="004A34EE">
        <w:t xml:space="preserve"> </w:t>
      </w:r>
      <w:r w:rsidRPr="00347B6C">
        <w:rPr>
          <w:b/>
        </w:rPr>
        <w:t>The Regulatory Asset Bases – RAB_X</w:t>
      </w:r>
      <w:r w:rsidRPr="001F4F8C">
        <w:rPr>
          <w:b/>
          <w:vertAlign w:val="subscript"/>
        </w:rPr>
        <w:t>t</w:t>
      </w:r>
      <w:r w:rsidR="0000306C">
        <w:t xml:space="preserve"> subsection 4.31 </w:t>
      </w:r>
      <w:r w:rsidR="0000306C" w:rsidRPr="004A34EE">
        <w:rPr>
          <w:b/>
        </w:rPr>
        <w:t>Allowed capex for 5 Year D.RAB – AC_D5Y</w:t>
      </w:r>
      <w:r w:rsidR="0000306C" w:rsidRPr="001F4F8C">
        <w:rPr>
          <w:b/>
          <w:vertAlign w:val="subscript"/>
        </w:rPr>
        <w:t>t</w:t>
      </w:r>
      <w:r w:rsidR="0000306C">
        <w:t xml:space="preserve"> </w:t>
      </w:r>
      <w:r w:rsidR="00151657">
        <w:t xml:space="preserve">condition </w:t>
      </w:r>
      <w:r w:rsidR="0000306C">
        <w:t xml:space="preserve">4.32 shall be </w:t>
      </w:r>
      <w:r w:rsidR="00B40314">
        <w:t>amended as follows:</w:t>
      </w:r>
    </w:p>
    <w:p w:rsidR="00B40314" w:rsidRPr="004A34EE" w:rsidRDefault="00B40314"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For the purposes of this Annex, in each Regulatory Reporting Year t, and for RAB_D5Y the allowed capex (AC_X</w:t>
      </w:r>
      <w:r w:rsidRPr="004A34EE">
        <w:rPr>
          <w:rFonts w:eastAsia="Calibri"/>
          <w:sz w:val="24"/>
          <w:szCs w:val="24"/>
          <w:vertAlign w:val="subscript"/>
          <w:lang w:eastAsia="en-US" w:bidi="ar-SA"/>
        </w:rPr>
        <w:t>t</w:t>
      </w:r>
      <w:r w:rsidRPr="004A34EE">
        <w:rPr>
          <w:rFonts w:eastAsia="Calibri"/>
          <w:sz w:val="24"/>
          <w:szCs w:val="24"/>
          <w:lang w:eastAsia="en-US" w:bidi="ar-SA"/>
        </w:rPr>
        <w:t>) amounts shall be calculated as follows:</w:t>
      </w:r>
    </w:p>
    <w:p w:rsidR="00B40314" w:rsidRPr="004A34EE" w:rsidRDefault="00B40314" w:rsidP="004A34EE">
      <w:pPr>
        <w:widowControl/>
        <w:autoSpaceDE/>
        <w:autoSpaceDN/>
        <w:spacing w:after="160" w:line="276" w:lineRule="auto"/>
        <w:ind w:left="709"/>
        <w:rPr>
          <w:rFonts w:eastAsia="Calibri"/>
          <w:color w:val="FF0000"/>
          <w:sz w:val="24"/>
          <w:szCs w:val="24"/>
          <w:lang w:eastAsia="en-US" w:bidi="ar-SA"/>
        </w:rPr>
      </w:pPr>
      <w:r w:rsidRPr="004A34EE">
        <w:rPr>
          <w:rFonts w:eastAsia="Calibri"/>
          <w:sz w:val="24"/>
          <w:szCs w:val="24"/>
          <w:lang w:eastAsia="en-US" w:bidi="ar-SA"/>
        </w:rPr>
        <w:t>AC_D5Y</w:t>
      </w:r>
      <w:r w:rsidRPr="001F4F8C">
        <w:rPr>
          <w:rFonts w:eastAsia="Calibri"/>
          <w:sz w:val="24"/>
          <w:szCs w:val="24"/>
          <w:vertAlign w:val="subscript"/>
          <w:lang w:eastAsia="en-US" w:bidi="ar-SA"/>
        </w:rPr>
        <w:t xml:space="preserve">t </w:t>
      </w:r>
      <w:r w:rsidRPr="004A34EE">
        <w:rPr>
          <w:rFonts w:eastAsia="Calibri"/>
          <w:sz w:val="24"/>
          <w:szCs w:val="24"/>
          <w:lang w:eastAsia="en-US" w:bidi="ar-SA"/>
        </w:rPr>
        <w:t xml:space="preserve">= </w:t>
      </w:r>
      <w:r w:rsidR="000E6B80">
        <w:rPr>
          <w:rFonts w:eastAsia="Calibri"/>
          <w:sz w:val="24"/>
          <w:szCs w:val="24"/>
          <w:lang w:eastAsia="en-US" w:bidi="ar-SA"/>
        </w:rPr>
        <w:t>(</w:t>
      </w:r>
      <w:r w:rsidRPr="004A34EE">
        <w:rPr>
          <w:rFonts w:eastAsia="Calibri"/>
          <w:sz w:val="24"/>
          <w:szCs w:val="24"/>
          <w:lang w:eastAsia="en-US" w:bidi="ar-SA"/>
        </w:rPr>
        <w:t>AC_2016_X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 RPI</w:t>
      </w:r>
      <w:r w:rsidRPr="004A34EE">
        <w:rPr>
          <w:rFonts w:eastAsia="Calibri"/>
          <w:sz w:val="24"/>
          <w:szCs w:val="24"/>
          <w:vertAlign w:val="subscript"/>
          <w:lang w:eastAsia="en-US" w:bidi="ar-SA"/>
        </w:rPr>
        <w:t xml:space="preserve">t </w:t>
      </w:r>
      <w:r w:rsidRPr="004A34EE">
        <w:rPr>
          <w:rFonts w:eastAsia="Calibri"/>
          <w:sz w:val="24"/>
          <w:szCs w:val="24"/>
          <w:lang w:eastAsia="en-US" w:bidi="ar-SA"/>
        </w:rPr>
        <w:t>/ RPI</w:t>
      </w:r>
      <w:r>
        <w:rPr>
          <w:rFonts w:eastAsia="Calibri"/>
          <w:sz w:val="24"/>
          <w:szCs w:val="24"/>
          <w:vertAlign w:val="subscript"/>
          <w:lang w:eastAsia="en-US" w:bidi="ar-SA"/>
        </w:rPr>
        <w:t>2016</w:t>
      </w:r>
      <w:r w:rsidR="000E6B80">
        <w:rPr>
          <w:rFonts w:eastAsia="Calibri"/>
          <w:sz w:val="24"/>
          <w:szCs w:val="24"/>
          <w:lang w:eastAsia="en-US" w:bidi="ar-SA"/>
        </w:rPr>
        <w:t xml:space="preserve">) </w:t>
      </w:r>
      <w:r w:rsidRPr="004A34EE">
        <w:rPr>
          <w:rFonts w:eastAsia="Calibri"/>
          <w:sz w:val="24"/>
          <w:szCs w:val="24"/>
          <w:lang w:eastAsia="en-US" w:bidi="ar-SA"/>
        </w:rPr>
        <w:t>+</w:t>
      </w:r>
      <w:r w:rsidR="000E6B80">
        <w:rPr>
          <w:rFonts w:eastAsia="Calibri"/>
          <w:sz w:val="24"/>
          <w:szCs w:val="24"/>
          <w:lang w:eastAsia="en-US" w:bidi="ar-SA"/>
        </w:rPr>
        <w:t xml:space="preserve"> </w:t>
      </w:r>
      <w:r w:rsidRPr="004A34EE">
        <w:rPr>
          <w:rFonts w:eastAsia="Calibri"/>
          <w:color w:val="FF0000"/>
          <w:sz w:val="24"/>
          <w:szCs w:val="24"/>
          <w:lang w:eastAsia="en-US" w:bidi="ar-SA"/>
        </w:rPr>
        <w:t>ACNES_X</w:t>
      </w:r>
      <w:r w:rsidRPr="004A34EE">
        <w:rPr>
          <w:rFonts w:eastAsia="Calibri"/>
          <w:color w:val="FF0000"/>
          <w:sz w:val="24"/>
          <w:szCs w:val="24"/>
          <w:vertAlign w:val="subscript"/>
          <w:lang w:eastAsia="en-US" w:bidi="ar-SA"/>
        </w:rPr>
        <w:t>t</w:t>
      </w:r>
      <w:r w:rsidRPr="004A34EE">
        <w:rPr>
          <w:rFonts w:eastAsia="Calibri"/>
          <w:color w:val="FF0000"/>
          <w:sz w:val="24"/>
          <w:szCs w:val="24"/>
          <w:lang w:eastAsia="en-US" w:bidi="ar-SA"/>
        </w:rPr>
        <w:t xml:space="preserve"> </w:t>
      </w:r>
    </w:p>
    <w:p w:rsidR="00B40314" w:rsidRPr="004A34EE" w:rsidRDefault="00B40314"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Where:</w:t>
      </w:r>
    </w:p>
    <w:p w:rsidR="00B40314" w:rsidRPr="004A34EE" w:rsidRDefault="00B40314" w:rsidP="004A34EE">
      <w:pPr>
        <w:widowControl/>
        <w:autoSpaceDE/>
        <w:autoSpaceDN/>
        <w:spacing w:after="160" w:line="276" w:lineRule="auto"/>
        <w:ind w:left="709"/>
        <w:rPr>
          <w:rFonts w:eastAsia="Calibri"/>
          <w:sz w:val="24"/>
          <w:szCs w:val="24"/>
          <w:lang w:eastAsia="en-US" w:bidi="ar-SA"/>
        </w:rPr>
      </w:pPr>
      <w:r w:rsidRPr="004A34EE">
        <w:rPr>
          <w:rFonts w:eastAsia="Calibri"/>
          <w:sz w:val="24"/>
          <w:szCs w:val="24"/>
          <w:lang w:eastAsia="en-US" w:bidi="ar-SA"/>
        </w:rPr>
        <w:t>AC_2016_X</w:t>
      </w:r>
      <w:r w:rsidRPr="004A34EE">
        <w:rPr>
          <w:rFonts w:eastAsia="Calibri"/>
          <w:sz w:val="24"/>
          <w:szCs w:val="24"/>
          <w:vertAlign w:val="subscript"/>
          <w:lang w:eastAsia="en-US" w:bidi="ar-SA"/>
        </w:rPr>
        <w:t>t</w:t>
      </w:r>
      <w:r w:rsidRPr="004A34EE">
        <w:rPr>
          <w:rFonts w:eastAsia="Calibri"/>
          <w:sz w:val="24"/>
          <w:szCs w:val="24"/>
          <w:lang w:eastAsia="en-US" w:bidi="ar-SA"/>
        </w:rPr>
        <w:t xml:space="preserve"> is the allowed capex amount, in a 2016 price base, for RAB_D5Y and for each Regulatory Reporting Year t, and shall be equal to the amounts specified in Table 3 below.</w:t>
      </w:r>
    </w:p>
    <w:p w:rsidR="00033865" w:rsidRPr="00033865" w:rsidRDefault="00033865" w:rsidP="00033865">
      <w:pPr>
        <w:widowControl/>
        <w:autoSpaceDE/>
        <w:autoSpaceDN/>
        <w:spacing w:after="160" w:line="276" w:lineRule="auto"/>
        <w:ind w:left="709"/>
        <w:rPr>
          <w:rFonts w:eastAsia="Calibri"/>
          <w:color w:val="FF0000"/>
          <w:sz w:val="24"/>
          <w:szCs w:val="24"/>
          <w:lang w:eastAsia="en-US" w:bidi="ar-SA"/>
        </w:rPr>
      </w:pPr>
      <w:r w:rsidRPr="00033865">
        <w:rPr>
          <w:rFonts w:eastAsia="Calibri"/>
          <w:color w:val="FF0000"/>
          <w:sz w:val="24"/>
          <w:szCs w:val="24"/>
          <w:lang w:eastAsia="en-US" w:bidi="ar-SA"/>
        </w:rPr>
        <w:t>ACNES_X</w:t>
      </w:r>
      <w:r w:rsidRPr="00033865">
        <w:rPr>
          <w:rFonts w:eastAsia="Calibri"/>
          <w:color w:val="FF0000"/>
          <w:sz w:val="24"/>
          <w:szCs w:val="24"/>
          <w:vertAlign w:val="subscript"/>
          <w:lang w:eastAsia="en-US" w:bidi="ar-SA"/>
        </w:rPr>
        <w:t>t</w:t>
      </w:r>
      <w:r w:rsidRPr="00033865">
        <w:rPr>
          <w:rFonts w:eastAsia="Calibri"/>
          <w:color w:val="FF0000"/>
          <w:sz w:val="24"/>
          <w:szCs w:val="24"/>
          <w:lang w:eastAsia="en-US" w:bidi="ar-SA"/>
        </w:rPr>
        <w:t xml:space="preserve"> is the allowed capex amount (if any) for RAB_D5Y  in respect of any Regulatory Reporting Year t specified in Table 3 below, being an amount  the Authority determines in a published decision to be appropriate for the Licensee to recover in respect of:</w:t>
      </w:r>
    </w:p>
    <w:p w:rsidR="00033865" w:rsidRPr="00033865" w:rsidRDefault="00033865" w:rsidP="00033865">
      <w:pPr>
        <w:widowControl/>
        <w:autoSpaceDE/>
        <w:autoSpaceDN/>
        <w:spacing w:after="160" w:line="276" w:lineRule="auto"/>
        <w:ind w:left="709"/>
        <w:rPr>
          <w:rFonts w:eastAsia="Calibri"/>
          <w:color w:val="FF0000"/>
          <w:sz w:val="24"/>
          <w:szCs w:val="24"/>
          <w:lang w:eastAsia="en-US" w:bidi="ar-SA"/>
        </w:rPr>
      </w:pPr>
      <w:r w:rsidRPr="00033865">
        <w:rPr>
          <w:rFonts w:eastAsia="Calibri"/>
          <w:color w:val="FF0000"/>
          <w:sz w:val="24"/>
          <w:szCs w:val="24"/>
          <w:lang w:eastAsia="en-US" w:bidi="ar-SA"/>
        </w:rPr>
        <w:t>(a)</w:t>
      </w:r>
      <w:r w:rsidRPr="00033865">
        <w:rPr>
          <w:rFonts w:eastAsia="Calibri"/>
          <w:color w:val="FF0000"/>
          <w:sz w:val="24"/>
          <w:szCs w:val="24"/>
          <w:lang w:eastAsia="en-US" w:bidi="ar-SA"/>
        </w:rPr>
        <w:tab/>
        <w:t xml:space="preserve"> any New Energy Strategy IT Solution; </w:t>
      </w:r>
    </w:p>
    <w:p w:rsidR="00033865" w:rsidRPr="00033865" w:rsidRDefault="00033865" w:rsidP="00033865">
      <w:pPr>
        <w:widowControl/>
        <w:autoSpaceDE/>
        <w:autoSpaceDN/>
        <w:spacing w:after="160" w:line="276" w:lineRule="auto"/>
        <w:ind w:left="709"/>
        <w:rPr>
          <w:rFonts w:eastAsia="Calibri"/>
          <w:color w:val="FF0000"/>
          <w:sz w:val="24"/>
          <w:szCs w:val="24"/>
          <w:lang w:eastAsia="en-US" w:bidi="ar-SA"/>
        </w:rPr>
      </w:pPr>
      <w:r w:rsidRPr="00033865">
        <w:rPr>
          <w:rFonts w:eastAsia="Calibri"/>
          <w:color w:val="FF0000"/>
          <w:sz w:val="24"/>
          <w:szCs w:val="24"/>
          <w:lang w:eastAsia="en-US" w:bidi="ar-SA"/>
        </w:rPr>
        <w:t>(b)</w:t>
      </w:r>
      <w:r w:rsidRPr="00033865">
        <w:rPr>
          <w:rFonts w:eastAsia="Calibri"/>
          <w:color w:val="FF0000"/>
          <w:sz w:val="24"/>
          <w:szCs w:val="24"/>
          <w:lang w:eastAsia="en-US" w:bidi="ar-SA"/>
        </w:rPr>
        <w:tab/>
        <w:t>any significant changes required to the specification of the information technology systems utilised by the Licensee for the purposes of providing the Market Data Service or the Market Registration Service.</w:t>
      </w:r>
    </w:p>
    <w:p w:rsidR="00033865" w:rsidRPr="004A34EE" w:rsidRDefault="00033865" w:rsidP="004A34EE">
      <w:pPr>
        <w:widowControl/>
        <w:autoSpaceDE/>
        <w:autoSpaceDN/>
        <w:spacing w:after="160" w:line="276" w:lineRule="auto"/>
        <w:ind w:left="709"/>
        <w:rPr>
          <w:rFonts w:eastAsia="Calibri"/>
          <w:color w:val="FF0000"/>
          <w:sz w:val="24"/>
          <w:szCs w:val="24"/>
          <w:lang w:eastAsia="en-US" w:bidi="ar-SA"/>
        </w:rPr>
      </w:pPr>
    </w:p>
    <w:p w:rsidR="00B40314" w:rsidRPr="004A34EE" w:rsidRDefault="00B40314">
      <w:pPr>
        <w:widowControl/>
        <w:autoSpaceDE/>
        <w:autoSpaceDN/>
        <w:spacing w:after="160" w:line="256" w:lineRule="auto"/>
        <w:ind w:left="709"/>
        <w:rPr>
          <w:rFonts w:eastAsia="Calibri"/>
          <w:sz w:val="24"/>
          <w:szCs w:val="24"/>
          <w:lang w:eastAsia="en-US" w:bidi="ar-SA"/>
        </w:rPr>
      </w:pPr>
      <w:r w:rsidRPr="004A34EE">
        <w:rPr>
          <w:rFonts w:eastAsia="Calibri"/>
          <w:sz w:val="24"/>
          <w:szCs w:val="24"/>
          <w:lang w:eastAsia="en-US" w:bidi="ar-SA"/>
        </w:rPr>
        <w:lastRenderedPageBreak/>
        <w:t>Table 3 – The Distribution Business allowed capex per RAB_D5Y for each Regulatory</w:t>
      </w:r>
      <w:r w:rsidR="00FF48BA">
        <w:rPr>
          <w:rFonts w:eastAsia="Calibri"/>
          <w:sz w:val="24"/>
          <w:szCs w:val="24"/>
          <w:lang w:eastAsia="en-US" w:bidi="ar-SA"/>
        </w:rPr>
        <w:t xml:space="preserve"> </w:t>
      </w:r>
      <w:r w:rsidRPr="004A34EE">
        <w:rPr>
          <w:rFonts w:eastAsia="Calibri"/>
          <w:sz w:val="24"/>
          <w:szCs w:val="24"/>
          <w:lang w:eastAsia="en-US" w:bidi="ar-SA"/>
        </w:rPr>
        <w:t>Reporting Year t (£ million, 2016 prices)</w:t>
      </w:r>
    </w:p>
    <w:p w:rsidR="00CC7D70" w:rsidRPr="00B40314" w:rsidRDefault="00CC7D70" w:rsidP="00B40314">
      <w:pPr>
        <w:widowControl/>
        <w:autoSpaceDE/>
        <w:autoSpaceDN/>
        <w:spacing w:after="160" w:line="256" w:lineRule="auto"/>
        <w:rPr>
          <w:rFonts w:ascii="Calibri" w:eastAsia="Calibri" w:hAnsi="Calibri" w:cs="Times New Roman"/>
          <w:lang w:eastAsia="en-US" w:bidi="ar-SA"/>
        </w:rPr>
      </w:pPr>
    </w:p>
    <w:tbl>
      <w:tblPr>
        <w:tblStyle w:val="TableGrid5"/>
        <w:tblW w:w="0" w:type="auto"/>
        <w:tblInd w:w="846" w:type="dxa"/>
        <w:tblLook w:val="04A0" w:firstRow="1" w:lastRow="0" w:firstColumn="1" w:lastColumn="0" w:noHBand="0" w:noVBand="1"/>
      </w:tblPr>
      <w:tblGrid>
        <w:gridCol w:w="1219"/>
        <w:gridCol w:w="993"/>
        <w:gridCol w:w="993"/>
        <w:gridCol w:w="993"/>
        <w:gridCol w:w="994"/>
        <w:gridCol w:w="994"/>
        <w:gridCol w:w="994"/>
        <w:gridCol w:w="994"/>
      </w:tblGrid>
      <w:tr w:rsidR="00FF48BA" w:rsidRPr="00FF48BA" w:rsidTr="004A34EE">
        <w:trPr>
          <w:trHeight w:val="511"/>
        </w:trPr>
        <w:tc>
          <w:tcPr>
            <w:tcW w:w="281"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jc w:val="right"/>
              <w:rPr>
                <w:rFonts w:eastAsia="Calibri"/>
                <w:lang w:eastAsia="en-US" w:bidi="ar-SA"/>
              </w:rPr>
            </w:pPr>
            <w:r w:rsidRPr="004A34EE">
              <w:rPr>
                <w:rFonts w:eastAsia="Calibri"/>
                <w:noProof/>
                <w:lang w:bidi="ar-SA"/>
              </w:rPr>
              <mc:AlternateContent>
                <mc:Choice Requires="wps">
                  <w:drawing>
                    <wp:anchor distT="0" distB="0" distL="114300" distR="114300" simplePos="0" relativeHeight="251674112" behindDoc="0" locked="0" layoutInCell="1" allowOverlap="1" wp14:anchorId="52087498" wp14:editId="296DCDFA">
                      <wp:simplePos x="0" y="0"/>
                      <wp:positionH relativeFrom="column">
                        <wp:posOffset>-52705</wp:posOffset>
                      </wp:positionH>
                      <wp:positionV relativeFrom="paragraph">
                        <wp:posOffset>13970</wp:posOffset>
                      </wp:positionV>
                      <wp:extent cx="692150" cy="317500"/>
                      <wp:effectExtent l="0" t="0" r="31750" b="25400"/>
                      <wp:wrapNone/>
                      <wp:docPr id="5" name="Straight Connector 1"/>
                      <wp:cNvGraphicFramePr/>
                      <a:graphic xmlns:a="http://schemas.openxmlformats.org/drawingml/2006/main">
                        <a:graphicData uri="http://schemas.microsoft.com/office/word/2010/wordprocessingShape">
                          <wps:wsp>
                            <wps:cNvCnPr/>
                            <wps:spPr>
                              <a:xfrm flipH="1" flipV="1">
                                <a:off x="0" y="0"/>
                                <a:ext cx="692150" cy="317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FDD9B" id="Straight Connector 1" o:spid="_x0000_s1026" style="position:absolute;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pt" to="50.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" strokecolor="windowText" strokeweight=".5pt">
                      <v:stroke joinstyle="miter"/>
                    </v:line>
                  </w:pict>
                </mc:Fallback>
              </mc:AlternateContent>
            </w:r>
            <w:r w:rsidRPr="004A34EE">
              <w:rPr>
                <w:rFonts w:eastAsia="Calibri"/>
                <w:lang w:eastAsia="en-US" w:bidi="ar-SA"/>
              </w:rPr>
              <w:t>Year</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t=2018</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t=2019</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t=2020</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t=2021</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t=2022</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t=2023</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t=2024</w:t>
            </w:r>
          </w:p>
        </w:tc>
      </w:tr>
      <w:tr w:rsidR="00FF48BA" w:rsidRPr="00FF48BA" w:rsidTr="004A34EE">
        <w:tc>
          <w:tcPr>
            <w:tcW w:w="281"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RAB_D5Y</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8.451</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11.069</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9.016</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7.071</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6.483</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5.941</w:t>
            </w:r>
          </w:p>
        </w:tc>
        <w:tc>
          <w:tcPr>
            <w:tcW w:w="1127" w:type="dxa"/>
            <w:tcBorders>
              <w:top w:val="single" w:sz="4" w:space="0" w:color="auto"/>
              <w:left w:val="single" w:sz="4" w:space="0" w:color="auto"/>
              <w:bottom w:val="single" w:sz="4" w:space="0" w:color="auto"/>
              <w:right w:val="single" w:sz="4" w:space="0" w:color="auto"/>
            </w:tcBorders>
            <w:hideMark/>
          </w:tcPr>
          <w:p w:rsidR="00FF48BA" w:rsidRPr="004A34EE" w:rsidRDefault="00FF48BA" w:rsidP="00FF48BA">
            <w:pPr>
              <w:rPr>
                <w:rFonts w:eastAsia="Calibri"/>
                <w:lang w:eastAsia="en-US" w:bidi="ar-SA"/>
              </w:rPr>
            </w:pPr>
            <w:r w:rsidRPr="004A34EE">
              <w:rPr>
                <w:rFonts w:eastAsia="Calibri"/>
                <w:lang w:eastAsia="en-US" w:bidi="ar-SA"/>
              </w:rPr>
              <w:t>7.974</w:t>
            </w:r>
          </w:p>
        </w:tc>
      </w:tr>
    </w:tbl>
    <w:p w:rsidR="00B40314" w:rsidRDefault="00B40314" w:rsidP="000A4E65">
      <w:pPr>
        <w:pStyle w:val="URExecSumparagraph"/>
        <w:ind w:left="720"/>
      </w:pPr>
    </w:p>
    <w:p w:rsidR="00CC7D70" w:rsidRDefault="00CC7D70" w:rsidP="000A4E65">
      <w:pPr>
        <w:pStyle w:val="URExecSumparagraph"/>
        <w:ind w:left="720"/>
      </w:pPr>
      <w:r>
        <w:t xml:space="preserve">In section </w:t>
      </w:r>
      <w:r w:rsidRPr="004A34EE">
        <w:rPr>
          <w:b/>
        </w:rPr>
        <w:t>6</w:t>
      </w:r>
      <w:r>
        <w:t xml:space="preserve">. </w:t>
      </w:r>
      <w:r w:rsidRPr="004A34EE">
        <w:rPr>
          <w:b/>
        </w:rPr>
        <w:t>The Opex amount - O</w:t>
      </w:r>
      <w:r w:rsidRPr="004A34EE">
        <w:rPr>
          <w:b/>
          <w:vertAlign w:val="subscript"/>
        </w:rPr>
        <w:t>t</w:t>
      </w:r>
      <w:r>
        <w:rPr>
          <w:b/>
          <w:vertAlign w:val="subscript"/>
        </w:rPr>
        <w:t xml:space="preserve"> </w:t>
      </w:r>
      <w:r w:rsidRPr="004A34EE">
        <w:t>subsection</w:t>
      </w:r>
      <w:r>
        <w:t xml:space="preserve"> 6.14 </w:t>
      </w:r>
      <w:r w:rsidRPr="004A34EE">
        <w:rPr>
          <w:b/>
        </w:rPr>
        <w:t>Allowed opex other amount – AOO</w:t>
      </w:r>
      <w:r w:rsidRPr="004A34EE">
        <w:rPr>
          <w:b/>
          <w:vertAlign w:val="subscript"/>
        </w:rPr>
        <w:t>t</w:t>
      </w:r>
      <w:r>
        <w:rPr>
          <w:b/>
          <w:vertAlign w:val="subscript"/>
        </w:rPr>
        <w:t xml:space="preserve"> </w:t>
      </w:r>
      <w:r>
        <w:t>paragraph 6.15 will be amended as follows:</w:t>
      </w:r>
    </w:p>
    <w:p w:rsidR="00CC7D70" w:rsidRDefault="00CC7D70" w:rsidP="00CC7D70">
      <w:pPr>
        <w:pStyle w:val="URExecSumparagraph"/>
        <w:ind w:left="720"/>
      </w:pPr>
      <w:r>
        <w:t>6.15. For the purposes of this Annex, in each Regulatory Reporting Year t, the allowed opex other amount (AOO</w:t>
      </w:r>
      <w:r w:rsidRPr="004A34EE">
        <w:rPr>
          <w:vertAlign w:val="subscript"/>
        </w:rPr>
        <w:t>t</w:t>
      </w:r>
      <w:r>
        <w:t>), being the amounts for other opex items listed immediately below, shall be calculated as follows:</w:t>
      </w:r>
    </w:p>
    <w:p w:rsidR="00CC7D70" w:rsidRDefault="00CC7D70" w:rsidP="00CC7D70">
      <w:pPr>
        <w:pStyle w:val="URExecSumparagraph"/>
        <w:ind w:left="720"/>
      </w:pPr>
      <w:r>
        <w:t>AOO</w:t>
      </w:r>
      <w:r w:rsidRPr="004A34EE">
        <w:rPr>
          <w:vertAlign w:val="subscript"/>
        </w:rPr>
        <w:t>t</w:t>
      </w:r>
      <w:r>
        <w:t xml:space="preserve"> = ES</w:t>
      </w:r>
      <w:r w:rsidRPr="004A34EE">
        <w:rPr>
          <w:vertAlign w:val="subscript"/>
        </w:rPr>
        <w:t>t</w:t>
      </w:r>
      <w:r>
        <w:t xml:space="preserve"> + IA</w:t>
      </w:r>
      <w:r w:rsidRPr="004A34EE">
        <w:rPr>
          <w:vertAlign w:val="subscript"/>
        </w:rPr>
        <w:t>t</w:t>
      </w:r>
      <w:r>
        <w:t xml:space="preserve"> + COL</w:t>
      </w:r>
      <w:r w:rsidRPr="004A34EE">
        <w:rPr>
          <w:vertAlign w:val="subscript"/>
        </w:rPr>
        <w:t>t</w:t>
      </w:r>
      <w:r>
        <w:t xml:space="preserve"> </w:t>
      </w:r>
      <w:r w:rsidRPr="004A34EE">
        <w:rPr>
          <w:color w:val="FF0000"/>
        </w:rPr>
        <w:t>+ NES</w:t>
      </w:r>
      <w:r w:rsidRPr="004A34EE">
        <w:rPr>
          <w:color w:val="FF0000"/>
          <w:vertAlign w:val="subscript"/>
        </w:rPr>
        <w:t>t</w:t>
      </w:r>
    </w:p>
    <w:p w:rsidR="00CC7D70" w:rsidRDefault="00CC7D70" w:rsidP="00CC7D70">
      <w:pPr>
        <w:pStyle w:val="URExecSumparagraph"/>
        <w:ind w:left="720"/>
      </w:pPr>
      <w:r>
        <w:t>Where:</w:t>
      </w:r>
    </w:p>
    <w:p w:rsidR="00F15BF6" w:rsidRPr="009C5D9C" w:rsidRDefault="00F15BF6" w:rsidP="00F15BF6">
      <w:pPr>
        <w:widowControl/>
        <w:autoSpaceDE/>
        <w:autoSpaceDN/>
        <w:spacing w:after="160" w:line="276" w:lineRule="auto"/>
        <w:ind w:left="709"/>
        <w:rPr>
          <w:rFonts w:eastAsia="Calibri"/>
          <w:sz w:val="24"/>
          <w:szCs w:val="24"/>
          <w:lang w:eastAsia="en-US" w:bidi="ar-SA"/>
        </w:rPr>
      </w:pPr>
      <w:r w:rsidRPr="009C5D9C">
        <w:rPr>
          <w:rFonts w:eastAsia="Calibri"/>
          <w:sz w:val="24"/>
          <w:szCs w:val="24"/>
          <w:lang w:eastAsia="en-US" w:bidi="ar-SA"/>
        </w:rPr>
        <w:t>ES</w:t>
      </w:r>
      <w:r w:rsidRPr="004A34EE">
        <w:rPr>
          <w:rFonts w:eastAsia="Calibri"/>
          <w:sz w:val="24"/>
          <w:szCs w:val="24"/>
          <w:vertAlign w:val="subscript"/>
          <w:lang w:eastAsia="en-US" w:bidi="ar-SA"/>
        </w:rPr>
        <w:t>t</w:t>
      </w:r>
      <w:r w:rsidRPr="009C5D9C">
        <w:rPr>
          <w:rFonts w:eastAsia="Calibri"/>
          <w:sz w:val="24"/>
          <w:szCs w:val="24"/>
          <w:lang w:eastAsia="en-US" w:bidi="ar-SA"/>
        </w:rPr>
        <w:t xml:space="preserve"> is the allowed opex amount (if any) in Regulatory Reporting Year t</w:t>
      </w:r>
      <w:r>
        <w:rPr>
          <w:rFonts w:eastAsia="Calibri"/>
          <w:sz w:val="24"/>
          <w:szCs w:val="24"/>
          <w:lang w:eastAsia="en-US" w:bidi="ar-SA"/>
        </w:rPr>
        <w:t>,</w:t>
      </w:r>
      <w:r w:rsidRPr="009C5D9C">
        <w:rPr>
          <w:rFonts w:eastAsia="Calibri"/>
          <w:sz w:val="24"/>
          <w:szCs w:val="24"/>
          <w:lang w:eastAsia="en-US" w:bidi="ar-SA"/>
        </w:rPr>
        <w:t xml:space="preserve"> for the Enduring Solution, being the additional amount that the Authority determines in a published decision, to be appropriate for the Licensee to recover in that Regulatory Reporting Year in respect of any significant changes in the specification of the service that the Licensee is required to provide in relation to the Enduring Solution market opening system;</w:t>
      </w:r>
    </w:p>
    <w:p w:rsidR="00F15BF6" w:rsidRPr="009C5D9C" w:rsidRDefault="00F15BF6" w:rsidP="00F15BF6">
      <w:pPr>
        <w:widowControl/>
        <w:autoSpaceDE/>
        <w:autoSpaceDN/>
        <w:spacing w:after="160" w:line="276" w:lineRule="auto"/>
        <w:ind w:left="709"/>
        <w:rPr>
          <w:rFonts w:eastAsia="Calibri"/>
          <w:sz w:val="24"/>
          <w:szCs w:val="24"/>
          <w:lang w:eastAsia="en-US" w:bidi="ar-SA"/>
        </w:rPr>
      </w:pPr>
      <w:r w:rsidRPr="009C5D9C">
        <w:rPr>
          <w:rFonts w:eastAsia="Calibri"/>
          <w:sz w:val="24"/>
          <w:szCs w:val="24"/>
          <w:lang w:eastAsia="en-US" w:bidi="ar-SA"/>
        </w:rPr>
        <w:t>IA</w:t>
      </w:r>
      <w:r w:rsidRPr="004A34EE">
        <w:rPr>
          <w:rFonts w:eastAsia="Calibri"/>
          <w:sz w:val="24"/>
          <w:szCs w:val="24"/>
          <w:vertAlign w:val="subscript"/>
          <w:lang w:eastAsia="en-US" w:bidi="ar-SA"/>
        </w:rPr>
        <w:t>t</w:t>
      </w:r>
      <w:r w:rsidRPr="009C5D9C">
        <w:rPr>
          <w:rFonts w:eastAsia="Calibri"/>
          <w:sz w:val="24"/>
          <w:szCs w:val="24"/>
          <w:lang w:eastAsia="en-US" w:bidi="ar-SA"/>
        </w:rPr>
        <w:t xml:space="preserve"> is the allowed opex amount (if any) in Regulatory Reporting Year t, for injurious affectation, being the amount that the Authority determines in a published decision to be appropriate for the Licensee to recover in respect of injurious affectation claims in that Regulatory Reporting Year; </w:t>
      </w:r>
    </w:p>
    <w:p w:rsidR="00F15BF6" w:rsidRPr="004A34EE" w:rsidRDefault="00F15BF6" w:rsidP="004A34EE">
      <w:pPr>
        <w:widowControl/>
        <w:autoSpaceDE/>
        <w:autoSpaceDN/>
        <w:spacing w:after="160" w:line="276" w:lineRule="auto"/>
        <w:ind w:left="709"/>
        <w:rPr>
          <w:rFonts w:eastAsia="Calibri"/>
          <w:sz w:val="24"/>
          <w:szCs w:val="24"/>
          <w:lang w:eastAsia="en-US" w:bidi="ar-SA"/>
        </w:rPr>
      </w:pPr>
      <w:r w:rsidRPr="009C5D9C">
        <w:rPr>
          <w:rFonts w:eastAsia="Calibri"/>
          <w:sz w:val="24"/>
          <w:szCs w:val="24"/>
          <w:lang w:eastAsia="en-US" w:bidi="ar-SA"/>
        </w:rPr>
        <w:t>COL</w:t>
      </w:r>
      <w:r w:rsidRPr="004A34EE">
        <w:rPr>
          <w:rFonts w:eastAsia="Calibri"/>
          <w:sz w:val="24"/>
          <w:szCs w:val="24"/>
          <w:vertAlign w:val="subscript"/>
          <w:lang w:eastAsia="en-US" w:bidi="ar-SA"/>
        </w:rPr>
        <w:t>t</w:t>
      </w:r>
      <w:r w:rsidRPr="009C5D9C">
        <w:rPr>
          <w:rFonts w:eastAsia="Calibri"/>
          <w:sz w:val="24"/>
          <w:szCs w:val="24"/>
          <w:lang w:eastAsia="en-US" w:bidi="ar-SA"/>
        </w:rPr>
        <w:t xml:space="preserve"> is the allowed opex amount (if any) for changes of law, in an amount determined by the Authority to be appropriate in accordance with paragraph 6.16; and</w:t>
      </w:r>
    </w:p>
    <w:p w:rsidR="000E6B80" w:rsidRPr="004A34EE" w:rsidRDefault="000E6B80" w:rsidP="000E6B80">
      <w:pPr>
        <w:pStyle w:val="URExecSumparagraph"/>
        <w:ind w:left="720"/>
        <w:rPr>
          <w:color w:val="FF0000"/>
        </w:rPr>
      </w:pPr>
      <w:r w:rsidRPr="004A34EE">
        <w:rPr>
          <w:color w:val="FF0000"/>
        </w:rPr>
        <w:t>NES</w:t>
      </w:r>
      <w:r w:rsidRPr="001F4F8C">
        <w:rPr>
          <w:color w:val="FF0000"/>
          <w:vertAlign w:val="subscript"/>
        </w:rPr>
        <w:t xml:space="preserve">t </w:t>
      </w:r>
      <w:r w:rsidRPr="004A34EE">
        <w:rPr>
          <w:color w:val="FF0000"/>
        </w:rPr>
        <w:t>is the allowed opex amount (if any) in Regulatory Reporting Year t, up to and including Regulatory Reporting Year t=2024 only, being the amount the Authority determines in a published decision, to be appropriate for the Licensee to recover in respect of:</w:t>
      </w:r>
    </w:p>
    <w:p w:rsidR="000E6B80" w:rsidRPr="004A34EE" w:rsidRDefault="000E6B80" w:rsidP="000E6B80">
      <w:pPr>
        <w:pStyle w:val="URExecSumparagraph"/>
        <w:ind w:left="720"/>
        <w:rPr>
          <w:color w:val="FF0000"/>
        </w:rPr>
      </w:pPr>
      <w:r w:rsidRPr="004A34EE">
        <w:rPr>
          <w:color w:val="FF0000"/>
        </w:rPr>
        <w:t>(a)</w:t>
      </w:r>
      <w:r w:rsidRPr="004A34EE">
        <w:rPr>
          <w:color w:val="FF0000"/>
        </w:rPr>
        <w:tab/>
        <w:t xml:space="preserve">a New Energy Strategy IT Solution;  </w:t>
      </w:r>
    </w:p>
    <w:p w:rsidR="000E6B80" w:rsidRPr="004A34EE" w:rsidRDefault="000E6B80" w:rsidP="000E6B80">
      <w:pPr>
        <w:pStyle w:val="URExecSumparagraph"/>
        <w:ind w:left="720"/>
        <w:rPr>
          <w:color w:val="FF0000"/>
        </w:rPr>
      </w:pPr>
      <w:r w:rsidRPr="004A34EE">
        <w:rPr>
          <w:color w:val="FF0000"/>
        </w:rPr>
        <w:t>(b)</w:t>
      </w:r>
      <w:r w:rsidRPr="004A34EE">
        <w:rPr>
          <w:color w:val="FF0000"/>
        </w:rPr>
        <w:tab/>
        <w:t>any significant changes required to the specification of the information technology systems utilised by the Licensee for the purposes of providing the Market Data Service or the Market Registration Service.</w:t>
      </w:r>
    </w:p>
    <w:p w:rsidR="000E6B80" w:rsidRPr="004A34EE" w:rsidRDefault="000E6B80">
      <w:pPr>
        <w:pStyle w:val="URExecSumparagraph"/>
        <w:ind w:left="720"/>
        <w:rPr>
          <w:strike/>
          <w:color w:val="FF0000"/>
        </w:rPr>
      </w:pPr>
    </w:p>
    <w:p w:rsidR="00613DBA" w:rsidRDefault="00613DBA"/>
    <w:p w:rsidR="00347B6C" w:rsidRPr="004A34EE" w:rsidRDefault="00347B6C">
      <w:pPr>
        <w:rPr>
          <w:b/>
          <w:sz w:val="40"/>
          <w:szCs w:val="40"/>
        </w:rPr>
      </w:pPr>
      <w:r w:rsidRPr="004A34EE">
        <w:rPr>
          <w:b/>
          <w:sz w:val="40"/>
          <w:szCs w:val="40"/>
        </w:rPr>
        <w:t xml:space="preserve">Annex B </w:t>
      </w:r>
      <w:r>
        <w:rPr>
          <w:b/>
          <w:sz w:val="40"/>
          <w:szCs w:val="40"/>
        </w:rPr>
        <w:t>– NIE Networks Transmission Licence</w:t>
      </w:r>
    </w:p>
    <w:p w:rsidR="00FA5443" w:rsidRDefault="00FA5443">
      <w:pPr>
        <w:rPr>
          <w:color w:val="000000"/>
          <w:sz w:val="24"/>
          <w:szCs w:val="24"/>
          <w:shd w:val="clear" w:color="auto" w:fill="FFFFFF"/>
        </w:rPr>
      </w:pPr>
    </w:p>
    <w:p w:rsidR="00347B6C" w:rsidRDefault="00104768">
      <w:pPr>
        <w:rPr>
          <w:color w:val="000000"/>
          <w:sz w:val="24"/>
          <w:szCs w:val="24"/>
          <w:shd w:val="clear" w:color="auto" w:fill="FFFFFF"/>
        </w:rPr>
      </w:pPr>
      <w:hyperlink r:id="rId24" w:history="1">
        <w:r w:rsidR="00FA5443" w:rsidRPr="00FA5443">
          <w:rPr>
            <w:rStyle w:val="Hyperlink"/>
            <w:sz w:val="24"/>
            <w:szCs w:val="24"/>
            <w:shd w:val="clear" w:color="auto" w:fill="FFFFFF"/>
          </w:rPr>
          <w:t>https://www.uregni.gov.uk/sites/uregni/files/media-files/NIE%20Transmission%20Licence%20effective%2018%2001%202020.pdf</w:t>
        </w:r>
      </w:hyperlink>
    </w:p>
    <w:p w:rsidR="00FA5443" w:rsidRDefault="00FA5443">
      <w:pPr>
        <w:rPr>
          <w:color w:val="000000"/>
          <w:sz w:val="24"/>
          <w:szCs w:val="24"/>
          <w:shd w:val="clear" w:color="auto" w:fill="FFFFFF"/>
        </w:rPr>
      </w:pPr>
    </w:p>
    <w:p w:rsidR="00FA5443" w:rsidRPr="004A34EE" w:rsidRDefault="00F94C0E">
      <w:pPr>
        <w:rPr>
          <w:b/>
          <w:color w:val="000000"/>
          <w:sz w:val="24"/>
          <w:szCs w:val="24"/>
          <w:shd w:val="clear" w:color="auto" w:fill="FFFFFF"/>
        </w:rPr>
      </w:pPr>
      <w:r w:rsidRPr="004A34EE">
        <w:rPr>
          <w:b/>
          <w:sz w:val="24"/>
          <w:szCs w:val="24"/>
        </w:rPr>
        <w:t>Annex 2 – Transmission Charge Restriction Conditions</w:t>
      </w:r>
    </w:p>
    <w:p w:rsidR="00FA5443" w:rsidRDefault="00FA5443">
      <w:pPr>
        <w:rPr>
          <w:color w:val="000000"/>
          <w:sz w:val="24"/>
          <w:szCs w:val="24"/>
          <w:shd w:val="clear" w:color="auto" w:fill="FFFFFF"/>
        </w:rPr>
      </w:pPr>
    </w:p>
    <w:p w:rsidR="008F6C64" w:rsidRPr="008F6C64" w:rsidRDefault="008F6C64" w:rsidP="004A34EE">
      <w:pPr>
        <w:spacing w:line="276" w:lineRule="auto"/>
        <w:rPr>
          <w:color w:val="000000"/>
          <w:sz w:val="24"/>
          <w:szCs w:val="24"/>
          <w:shd w:val="clear" w:color="auto" w:fill="FFFFFF"/>
        </w:rPr>
      </w:pPr>
      <w:r w:rsidRPr="008F6C64">
        <w:rPr>
          <w:color w:val="000000"/>
          <w:sz w:val="24"/>
          <w:szCs w:val="24"/>
          <w:shd w:val="clear" w:color="auto" w:fill="FFFFFF"/>
        </w:rPr>
        <w:t>In section 1. Definitions, paragraph 1.1 of Annex 2, the following new definition shall be inserted (in alphabetical order) –</w:t>
      </w:r>
    </w:p>
    <w:p w:rsidR="002B2078" w:rsidRDefault="002B2078" w:rsidP="004A34EE">
      <w:pPr>
        <w:spacing w:line="276" w:lineRule="auto"/>
        <w:rPr>
          <w:strike/>
          <w:color w:val="FF0000"/>
          <w:sz w:val="24"/>
          <w:szCs w:val="24"/>
          <w:shd w:val="clear" w:color="auto" w:fill="FFFFFF"/>
        </w:rPr>
      </w:pPr>
    </w:p>
    <w:p w:rsidR="002B2078" w:rsidRPr="004A34EE" w:rsidRDefault="002B2078" w:rsidP="002B2078">
      <w:pPr>
        <w:spacing w:line="276" w:lineRule="auto"/>
        <w:rPr>
          <w:color w:val="FF0000"/>
          <w:sz w:val="24"/>
          <w:szCs w:val="24"/>
          <w:shd w:val="clear" w:color="auto" w:fill="FFFFFF"/>
        </w:rPr>
      </w:pPr>
      <w:r w:rsidRPr="004A34EE">
        <w:rPr>
          <w:color w:val="FF0000"/>
          <w:sz w:val="24"/>
          <w:szCs w:val="24"/>
          <w:shd w:val="clear" w:color="auto" w:fill="FFFFFF"/>
        </w:rPr>
        <w:t>“New Energy Strategy IT Solution” means a new information technology system that is required by the Licensee's Distribution Business for the purposes of implementing any new energy policy which:</w:t>
      </w:r>
    </w:p>
    <w:p w:rsidR="002B2078" w:rsidRPr="004A34EE" w:rsidRDefault="002B2078" w:rsidP="002B2078">
      <w:pPr>
        <w:spacing w:line="276" w:lineRule="auto"/>
        <w:rPr>
          <w:color w:val="FF0000"/>
          <w:sz w:val="24"/>
          <w:szCs w:val="24"/>
          <w:shd w:val="clear" w:color="auto" w:fill="FFFFFF"/>
        </w:rPr>
      </w:pPr>
      <w:r w:rsidRPr="004A34EE">
        <w:rPr>
          <w:color w:val="FF0000"/>
          <w:sz w:val="24"/>
          <w:szCs w:val="24"/>
          <w:shd w:val="clear" w:color="auto" w:fill="FFFFFF"/>
        </w:rPr>
        <w:t>(a)</w:t>
      </w:r>
      <w:r w:rsidRPr="004A34EE">
        <w:rPr>
          <w:color w:val="FF0000"/>
          <w:sz w:val="24"/>
          <w:szCs w:val="24"/>
          <w:shd w:val="clear" w:color="auto" w:fill="FFFFFF"/>
        </w:rPr>
        <w:tab/>
        <w:t xml:space="preserve"> is introduced by a competent authority; and </w:t>
      </w:r>
    </w:p>
    <w:p w:rsidR="002B2078" w:rsidRPr="004A34EE" w:rsidRDefault="002B2078" w:rsidP="002B2078">
      <w:pPr>
        <w:spacing w:line="276" w:lineRule="auto"/>
        <w:rPr>
          <w:color w:val="FF0000"/>
          <w:sz w:val="24"/>
          <w:szCs w:val="24"/>
          <w:shd w:val="clear" w:color="auto" w:fill="FFFFFF"/>
        </w:rPr>
      </w:pPr>
      <w:r w:rsidRPr="004A34EE">
        <w:rPr>
          <w:color w:val="FF0000"/>
          <w:sz w:val="24"/>
          <w:szCs w:val="24"/>
          <w:shd w:val="clear" w:color="auto" w:fill="FFFFFF"/>
        </w:rPr>
        <w:t>(b)</w:t>
      </w:r>
      <w:r w:rsidRPr="004A34EE">
        <w:rPr>
          <w:color w:val="FF0000"/>
          <w:sz w:val="24"/>
          <w:szCs w:val="24"/>
          <w:shd w:val="clear" w:color="auto" w:fill="FFFFFF"/>
        </w:rPr>
        <w:tab/>
        <w:t>requires a change to be made to the specification of services provided by the Licensee's Distribution Business.</w:t>
      </w:r>
    </w:p>
    <w:p w:rsidR="00FA5443" w:rsidRDefault="00FA5443">
      <w:pPr>
        <w:rPr>
          <w:color w:val="000000"/>
          <w:sz w:val="24"/>
          <w:szCs w:val="24"/>
          <w:shd w:val="clear" w:color="auto" w:fill="FFFFFF"/>
        </w:rPr>
      </w:pPr>
    </w:p>
    <w:p w:rsidR="00FA5443" w:rsidRDefault="00151657" w:rsidP="004A34EE">
      <w:pPr>
        <w:spacing w:line="276" w:lineRule="auto"/>
        <w:rPr>
          <w:color w:val="000000"/>
          <w:sz w:val="24"/>
          <w:szCs w:val="24"/>
          <w:shd w:val="clear" w:color="auto" w:fill="FFFFFF"/>
        </w:rPr>
      </w:pPr>
      <w:r>
        <w:rPr>
          <w:color w:val="000000"/>
          <w:sz w:val="24"/>
          <w:szCs w:val="24"/>
          <w:shd w:val="clear" w:color="auto" w:fill="FFFFFF"/>
        </w:rPr>
        <w:t xml:space="preserve">In section </w:t>
      </w:r>
      <w:r w:rsidRPr="004A34EE">
        <w:rPr>
          <w:b/>
          <w:color w:val="000000"/>
          <w:sz w:val="24"/>
          <w:szCs w:val="24"/>
          <w:shd w:val="clear" w:color="auto" w:fill="FFFFFF"/>
        </w:rPr>
        <w:t>4. The Regulatory Asset Bases – RAB_X</w:t>
      </w:r>
      <w:r w:rsidRPr="001F4F8C">
        <w:rPr>
          <w:b/>
          <w:color w:val="000000"/>
          <w:sz w:val="24"/>
          <w:szCs w:val="24"/>
          <w:shd w:val="clear" w:color="auto" w:fill="FFFFFF"/>
          <w:vertAlign w:val="subscript"/>
        </w:rPr>
        <w:t>t</w:t>
      </w:r>
      <w:r>
        <w:rPr>
          <w:b/>
          <w:color w:val="000000"/>
          <w:sz w:val="24"/>
          <w:szCs w:val="24"/>
          <w:shd w:val="clear" w:color="auto" w:fill="FFFFFF"/>
        </w:rPr>
        <w:t xml:space="preserve"> </w:t>
      </w:r>
      <w:r w:rsidRPr="004A34EE">
        <w:rPr>
          <w:color w:val="000000"/>
          <w:sz w:val="24"/>
          <w:szCs w:val="24"/>
          <w:shd w:val="clear" w:color="auto" w:fill="FFFFFF"/>
        </w:rPr>
        <w:t>subsection</w:t>
      </w:r>
      <w:r>
        <w:rPr>
          <w:b/>
          <w:color w:val="000000"/>
          <w:sz w:val="24"/>
          <w:szCs w:val="24"/>
          <w:shd w:val="clear" w:color="auto" w:fill="FFFFFF"/>
        </w:rPr>
        <w:t xml:space="preserve"> 4.31</w:t>
      </w:r>
      <w:r w:rsidRPr="00151657">
        <w:t xml:space="preserve"> </w:t>
      </w:r>
      <w:r w:rsidRPr="00151657">
        <w:rPr>
          <w:b/>
          <w:color w:val="000000"/>
          <w:sz w:val="24"/>
          <w:szCs w:val="24"/>
          <w:shd w:val="clear" w:color="auto" w:fill="FFFFFF"/>
        </w:rPr>
        <w:t>Allowed capex – AC_X</w:t>
      </w:r>
      <w:r w:rsidRPr="001F4F8C">
        <w:rPr>
          <w:b/>
          <w:color w:val="000000"/>
          <w:sz w:val="24"/>
          <w:szCs w:val="24"/>
          <w:shd w:val="clear" w:color="auto" w:fill="FFFFFF"/>
          <w:vertAlign w:val="subscript"/>
        </w:rPr>
        <w:t>t</w:t>
      </w:r>
      <w:r>
        <w:rPr>
          <w:b/>
          <w:color w:val="000000"/>
          <w:sz w:val="24"/>
          <w:szCs w:val="24"/>
          <w:shd w:val="clear" w:color="auto" w:fill="FFFFFF"/>
        </w:rPr>
        <w:t xml:space="preserve"> </w:t>
      </w:r>
      <w:r w:rsidRPr="004A34EE">
        <w:rPr>
          <w:color w:val="000000"/>
          <w:sz w:val="24"/>
          <w:szCs w:val="24"/>
          <w:shd w:val="clear" w:color="auto" w:fill="FFFFFF"/>
        </w:rPr>
        <w:t>condition 4.32</w:t>
      </w:r>
      <w:r>
        <w:rPr>
          <w:color w:val="000000"/>
          <w:sz w:val="24"/>
          <w:szCs w:val="24"/>
          <w:shd w:val="clear" w:color="auto" w:fill="FFFFFF"/>
        </w:rPr>
        <w:t xml:space="preserve"> will be amended as follows:</w:t>
      </w:r>
    </w:p>
    <w:p w:rsidR="00FA5443" w:rsidRDefault="00FA5443">
      <w:pPr>
        <w:rPr>
          <w:color w:val="000000"/>
          <w:sz w:val="24"/>
          <w:szCs w:val="24"/>
          <w:shd w:val="clear" w:color="auto" w:fill="FFFFFF"/>
        </w:rPr>
      </w:pPr>
    </w:p>
    <w:p w:rsidR="00151657" w:rsidRDefault="00151657" w:rsidP="004A34EE">
      <w:pPr>
        <w:spacing w:line="276" w:lineRule="auto"/>
        <w:rPr>
          <w:color w:val="000000"/>
          <w:sz w:val="24"/>
          <w:szCs w:val="24"/>
          <w:shd w:val="clear" w:color="auto" w:fill="FFFFFF"/>
        </w:rPr>
      </w:pPr>
      <w:r w:rsidRPr="004A34EE">
        <w:rPr>
          <w:color w:val="000000"/>
          <w:sz w:val="24"/>
          <w:szCs w:val="24"/>
          <w:shd w:val="clear" w:color="auto" w:fill="FFFFFF"/>
        </w:rPr>
        <w:t>For the purposes of this Annex, in each Regulatory Reporting Year t, and for RAB_X, the allowed capex (AC_X</w:t>
      </w:r>
      <w:r w:rsidRPr="004A34EE">
        <w:rPr>
          <w:color w:val="000000"/>
          <w:sz w:val="24"/>
          <w:szCs w:val="24"/>
          <w:shd w:val="clear" w:color="auto" w:fill="FFFFFF"/>
          <w:vertAlign w:val="subscript"/>
        </w:rPr>
        <w:t>t</w:t>
      </w:r>
      <w:r w:rsidRPr="004A34EE">
        <w:rPr>
          <w:color w:val="000000"/>
          <w:sz w:val="24"/>
          <w:szCs w:val="24"/>
          <w:shd w:val="clear" w:color="auto" w:fill="FFFFFF"/>
        </w:rPr>
        <w:t>) amounts shall be calculated as follows:</w:t>
      </w:r>
    </w:p>
    <w:p w:rsidR="00F15BF6" w:rsidRPr="004A34EE" w:rsidRDefault="00F15BF6" w:rsidP="004A34EE">
      <w:pPr>
        <w:spacing w:line="276" w:lineRule="auto"/>
        <w:rPr>
          <w:color w:val="000000"/>
          <w:sz w:val="24"/>
          <w:szCs w:val="24"/>
          <w:shd w:val="clear" w:color="auto" w:fill="FFFFFF"/>
        </w:rPr>
      </w:pPr>
    </w:p>
    <w:p w:rsidR="00151657" w:rsidRPr="004A34EE" w:rsidRDefault="00151657" w:rsidP="004A34EE">
      <w:pPr>
        <w:spacing w:line="276" w:lineRule="auto"/>
        <w:rPr>
          <w:color w:val="000000"/>
          <w:sz w:val="24"/>
          <w:szCs w:val="24"/>
          <w:shd w:val="clear" w:color="auto" w:fill="FFFFFF"/>
        </w:rPr>
      </w:pPr>
      <w:r w:rsidRPr="004A34EE">
        <w:rPr>
          <w:color w:val="000000"/>
          <w:sz w:val="24"/>
          <w:szCs w:val="24"/>
          <w:shd w:val="clear" w:color="auto" w:fill="FFFFFF"/>
        </w:rPr>
        <w:t>AC_X</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 </w:t>
      </w:r>
      <w:r w:rsidR="009C486E">
        <w:rPr>
          <w:color w:val="000000"/>
          <w:sz w:val="24"/>
          <w:szCs w:val="24"/>
          <w:shd w:val="clear" w:color="auto" w:fill="FFFFFF"/>
        </w:rPr>
        <w:t>(</w:t>
      </w:r>
      <w:r w:rsidRPr="004A34EE">
        <w:rPr>
          <w:color w:val="000000"/>
          <w:sz w:val="24"/>
          <w:szCs w:val="24"/>
          <w:shd w:val="clear" w:color="auto" w:fill="FFFFFF"/>
        </w:rPr>
        <w:t>AC_2016_X</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 RPI</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 RPI</w:t>
      </w:r>
      <w:r w:rsidRPr="004A34EE">
        <w:rPr>
          <w:color w:val="000000"/>
          <w:sz w:val="24"/>
          <w:szCs w:val="24"/>
          <w:shd w:val="clear" w:color="auto" w:fill="FFFFFF"/>
          <w:vertAlign w:val="subscript"/>
        </w:rPr>
        <w:t>2016</w:t>
      </w:r>
      <w:r w:rsidR="009C486E">
        <w:rPr>
          <w:color w:val="000000"/>
          <w:sz w:val="24"/>
          <w:szCs w:val="24"/>
          <w:shd w:val="clear" w:color="auto" w:fill="FFFFFF"/>
        </w:rPr>
        <w:t xml:space="preserve">) </w:t>
      </w:r>
      <w:r w:rsidRPr="004A34EE">
        <w:rPr>
          <w:color w:val="FF0000"/>
          <w:sz w:val="24"/>
          <w:szCs w:val="24"/>
          <w:shd w:val="clear" w:color="auto" w:fill="FFFFFF"/>
        </w:rPr>
        <w:t>+</w:t>
      </w:r>
      <w:r w:rsidR="009C486E">
        <w:rPr>
          <w:color w:val="FF0000"/>
          <w:sz w:val="24"/>
          <w:szCs w:val="24"/>
          <w:shd w:val="clear" w:color="auto" w:fill="FFFFFF"/>
        </w:rPr>
        <w:t xml:space="preserve"> </w:t>
      </w:r>
      <w:r w:rsidRPr="004A34EE">
        <w:rPr>
          <w:color w:val="FF0000"/>
          <w:sz w:val="24"/>
          <w:szCs w:val="24"/>
          <w:shd w:val="clear" w:color="auto" w:fill="FFFFFF"/>
        </w:rPr>
        <w:t>ACNES_X</w:t>
      </w:r>
      <w:r w:rsidRPr="004A34EE">
        <w:rPr>
          <w:color w:val="FF0000"/>
          <w:sz w:val="24"/>
          <w:szCs w:val="24"/>
          <w:shd w:val="clear" w:color="auto" w:fill="FFFFFF"/>
          <w:vertAlign w:val="subscript"/>
        </w:rPr>
        <w:t xml:space="preserve">t </w:t>
      </w:r>
    </w:p>
    <w:p w:rsidR="00FA5443" w:rsidRDefault="00FA5443">
      <w:pPr>
        <w:rPr>
          <w:color w:val="000000"/>
          <w:sz w:val="24"/>
          <w:szCs w:val="24"/>
          <w:shd w:val="clear" w:color="auto" w:fill="FFFFFF"/>
        </w:rPr>
      </w:pPr>
    </w:p>
    <w:p w:rsidR="00151657" w:rsidRDefault="00151657" w:rsidP="004A34EE">
      <w:pPr>
        <w:spacing w:line="276" w:lineRule="auto"/>
        <w:rPr>
          <w:color w:val="000000"/>
          <w:sz w:val="24"/>
          <w:szCs w:val="24"/>
          <w:shd w:val="clear" w:color="auto" w:fill="FFFFFF"/>
        </w:rPr>
      </w:pPr>
      <w:r w:rsidRPr="004A34EE">
        <w:rPr>
          <w:color w:val="000000"/>
          <w:sz w:val="24"/>
          <w:szCs w:val="24"/>
          <w:shd w:val="clear" w:color="auto" w:fill="FFFFFF"/>
        </w:rPr>
        <w:t>Where:</w:t>
      </w:r>
    </w:p>
    <w:p w:rsidR="00151657" w:rsidRPr="004A34EE" w:rsidRDefault="00151657" w:rsidP="004A34EE">
      <w:pPr>
        <w:spacing w:line="276" w:lineRule="auto"/>
        <w:rPr>
          <w:color w:val="000000"/>
          <w:sz w:val="24"/>
          <w:szCs w:val="24"/>
          <w:shd w:val="clear" w:color="auto" w:fill="FFFFFF"/>
        </w:rPr>
      </w:pPr>
    </w:p>
    <w:p w:rsidR="00FA5443" w:rsidRDefault="00151657" w:rsidP="004A34EE">
      <w:pPr>
        <w:spacing w:line="276" w:lineRule="auto"/>
        <w:rPr>
          <w:color w:val="000000"/>
          <w:sz w:val="24"/>
          <w:szCs w:val="24"/>
          <w:shd w:val="clear" w:color="auto" w:fill="FFFFFF"/>
        </w:rPr>
      </w:pPr>
      <w:r w:rsidRPr="004A34EE">
        <w:rPr>
          <w:color w:val="000000"/>
          <w:sz w:val="24"/>
          <w:szCs w:val="24"/>
          <w:shd w:val="clear" w:color="auto" w:fill="FFFFFF"/>
        </w:rPr>
        <w:t>AC_2016_X</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is the allowed capex amount, in a 2016 price base, for RAB_X and for each Regulatory Reporting Year t, and shall be equal to the amounts specified in Table 3 below.</w:t>
      </w:r>
    </w:p>
    <w:p w:rsidR="00C02BEC" w:rsidRDefault="00C02BEC" w:rsidP="004A34EE">
      <w:pPr>
        <w:spacing w:line="276" w:lineRule="auto"/>
        <w:rPr>
          <w:strike/>
          <w:color w:val="FF0000"/>
          <w:sz w:val="24"/>
          <w:szCs w:val="24"/>
          <w:shd w:val="clear" w:color="auto" w:fill="FFFFFF"/>
        </w:rPr>
      </w:pPr>
    </w:p>
    <w:p w:rsidR="00C02BEC" w:rsidRPr="004A34EE"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ACNES_X</w:t>
      </w:r>
      <w:r w:rsidRPr="001F4F8C">
        <w:rPr>
          <w:color w:val="FF0000"/>
          <w:sz w:val="24"/>
          <w:szCs w:val="24"/>
          <w:shd w:val="clear" w:color="auto" w:fill="FFFFFF"/>
          <w:vertAlign w:val="subscript"/>
        </w:rPr>
        <w:t>t</w:t>
      </w:r>
      <w:r w:rsidRPr="004A34EE">
        <w:rPr>
          <w:color w:val="FF0000"/>
          <w:sz w:val="24"/>
          <w:szCs w:val="24"/>
          <w:shd w:val="clear" w:color="auto" w:fill="FFFFFF"/>
        </w:rPr>
        <w:t xml:space="preserve"> is the allowed capex amount (if any) for RAB_D5Y  in respect of any Regulatory Reporting Year t specified in Table 3 below, being an amount  the Authority determines in a published decision to be appropriate for the Licensee to recover in respect of:</w:t>
      </w:r>
    </w:p>
    <w:p w:rsidR="00C02BEC" w:rsidRPr="004A34EE"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(a)</w:t>
      </w:r>
      <w:r w:rsidRPr="004A34EE">
        <w:rPr>
          <w:color w:val="FF0000"/>
          <w:sz w:val="24"/>
          <w:szCs w:val="24"/>
          <w:shd w:val="clear" w:color="auto" w:fill="FFFFFF"/>
        </w:rPr>
        <w:tab/>
        <w:t xml:space="preserve"> any New Energy Strategy IT Solution; </w:t>
      </w:r>
    </w:p>
    <w:p w:rsidR="00C02BEC" w:rsidRPr="004A34EE"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(b)</w:t>
      </w:r>
      <w:r w:rsidRPr="004A34EE">
        <w:rPr>
          <w:color w:val="FF0000"/>
          <w:sz w:val="24"/>
          <w:szCs w:val="24"/>
          <w:shd w:val="clear" w:color="auto" w:fill="FFFFFF"/>
        </w:rPr>
        <w:tab/>
        <w:t>any significant changes required to the specification of the information technology systems utilised by the Licensee for the purposes of providing the Market Data Service or the Market Registration Service.</w:t>
      </w:r>
    </w:p>
    <w:p w:rsidR="00F15BF6" w:rsidRDefault="00F15BF6" w:rsidP="004A34EE">
      <w:pPr>
        <w:spacing w:line="276" w:lineRule="auto"/>
        <w:rPr>
          <w:strike/>
          <w:color w:val="FF0000"/>
          <w:sz w:val="24"/>
          <w:szCs w:val="24"/>
          <w:shd w:val="clear" w:color="auto" w:fill="FFFFFF"/>
        </w:rPr>
      </w:pPr>
    </w:p>
    <w:p w:rsidR="00F15BF6" w:rsidRDefault="00F15BF6" w:rsidP="004A34EE">
      <w:pPr>
        <w:spacing w:line="276" w:lineRule="auto"/>
        <w:rPr>
          <w:strike/>
          <w:color w:val="FF0000"/>
          <w:sz w:val="24"/>
          <w:szCs w:val="24"/>
          <w:shd w:val="clear" w:color="auto" w:fill="FFFFFF"/>
        </w:rPr>
      </w:pPr>
    </w:p>
    <w:p w:rsidR="00144531" w:rsidRDefault="00144531" w:rsidP="004A34EE">
      <w:pPr>
        <w:spacing w:line="276" w:lineRule="auto"/>
        <w:rPr>
          <w:strike/>
          <w:color w:val="FF0000"/>
          <w:sz w:val="24"/>
          <w:szCs w:val="24"/>
          <w:shd w:val="clear" w:color="auto" w:fill="FFFFFF"/>
        </w:rPr>
      </w:pPr>
    </w:p>
    <w:p w:rsidR="00144531" w:rsidRPr="004A34EE" w:rsidRDefault="00144531" w:rsidP="004A34EE">
      <w:pPr>
        <w:spacing w:line="276" w:lineRule="auto"/>
        <w:rPr>
          <w:strike/>
          <w:color w:val="FF0000"/>
          <w:sz w:val="24"/>
          <w:szCs w:val="24"/>
          <w:shd w:val="clear" w:color="auto" w:fill="FFFFFF"/>
        </w:rPr>
      </w:pPr>
    </w:p>
    <w:p w:rsidR="00FA5443" w:rsidRDefault="00FA5443">
      <w:pPr>
        <w:rPr>
          <w:color w:val="000000"/>
          <w:sz w:val="24"/>
          <w:szCs w:val="24"/>
          <w:shd w:val="clear" w:color="auto" w:fill="FFFFFF"/>
        </w:rPr>
      </w:pPr>
    </w:p>
    <w:p w:rsidR="00151657" w:rsidRDefault="00151657" w:rsidP="004A34EE">
      <w:pPr>
        <w:spacing w:line="276" w:lineRule="auto"/>
        <w:rPr>
          <w:color w:val="000000"/>
          <w:sz w:val="24"/>
          <w:szCs w:val="24"/>
          <w:shd w:val="clear" w:color="auto" w:fill="FFFFFF"/>
        </w:rPr>
      </w:pPr>
      <w:r w:rsidRPr="004A34EE">
        <w:rPr>
          <w:color w:val="000000"/>
          <w:sz w:val="24"/>
          <w:szCs w:val="24"/>
          <w:shd w:val="clear" w:color="auto" w:fill="FFFFFF"/>
        </w:rPr>
        <w:lastRenderedPageBreak/>
        <w:t>Table 3 – The Transmission Owner Business allowed capex per RAB_X for each Regulatory Reporting Year t (£ million, 2016 prices)</w:t>
      </w:r>
    </w:p>
    <w:p w:rsidR="00151657" w:rsidRPr="004A34EE" w:rsidRDefault="00151657" w:rsidP="004A34EE">
      <w:pPr>
        <w:spacing w:line="276" w:lineRule="auto"/>
        <w:rPr>
          <w:color w:val="000000"/>
          <w:sz w:val="24"/>
          <w:szCs w:val="24"/>
          <w:shd w:val="clear" w:color="auto" w:fill="FFFFFF"/>
        </w:rPr>
      </w:pPr>
    </w:p>
    <w:tbl>
      <w:tblPr>
        <w:tblStyle w:val="TableGrid6"/>
        <w:tblW w:w="0" w:type="auto"/>
        <w:tblInd w:w="0" w:type="dxa"/>
        <w:tblLook w:val="04A0" w:firstRow="1" w:lastRow="0" w:firstColumn="1" w:lastColumn="0" w:noHBand="0" w:noVBand="1"/>
      </w:tblPr>
      <w:tblGrid>
        <w:gridCol w:w="1195"/>
        <w:gridCol w:w="1117"/>
        <w:gridCol w:w="1118"/>
        <w:gridCol w:w="1118"/>
        <w:gridCol w:w="1118"/>
        <w:gridCol w:w="1118"/>
        <w:gridCol w:w="1118"/>
        <w:gridCol w:w="1118"/>
      </w:tblGrid>
      <w:tr w:rsidR="00151657" w:rsidRPr="00151657" w:rsidTr="00151657">
        <w:trPr>
          <w:trHeight w:val="511"/>
        </w:trPr>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jc w:val="right"/>
              <w:rPr>
                <w:rFonts w:eastAsia="Calibri"/>
                <w:lang w:eastAsia="en-US" w:bidi="ar-SA"/>
              </w:rPr>
            </w:pPr>
            <w:r w:rsidRPr="004A34EE">
              <w:rPr>
                <w:rFonts w:eastAsia="Calibri"/>
                <w:noProof/>
                <w:lang w:bidi="ar-SA"/>
              </w:rPr>
              <mc:AlternateContent>
                <mc:Choice Requires="wps">
                  <w:drawing>
                    <wp:anchor distT="0" distB="0" distL="114300" distR="114300" simplePos="0" relativeHeight="251676160" behindDoc="0" locked="0" layoutInCell="1" allowOverlap="1" wp14:anchorId="7483B2BA" wp14:editId="7B6C91A3">
                      <wp:simplePos x="0" y="0"/>
                      <wp:positionH relativeFrom="column">
                        <wp:posOffset>-52705</wp:posOffset>
                      </wp:positionH>
                      <wp:positionV relativeFrom="paragraph">
                        <wp:posOffset>13970</wp:posOffset>
                      </wp:positionV>
                      <wp:extent cx="692150" cy="317500"/>
                      <wp:effectExtent l="0" t="0" r="31750" b="25400"/>
                      <wp:wrapNone/>
                      <wp:docPr id="1" name="Straight Connector 2"/>
                      <wp:cNvGraphicFramePr/>
                      <a:graphic xmlns:a="http://schemas.openxmlformats.org/drawingml/2006/main">
                        <a:graphicData uri="http://schemas.microsoft.com/office/word/2010/wordprocessingShape">
                          <wps:wsp>
                            <wps:cNvCnPr/>
                            <wps:spPr>
                              <a:xfrm flipH="1" flipV="1">
                                <a:off x="0" y="0"/>
                                <a:ext cx="692150" cy="317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15FE0C" id="Straight Connector 2"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pt" to="50.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" strokecolor="windowText" strokeweight=".5pt">
                      <v:stroke joinstyle="miter"/>
                    </v:line>
                  </w:pict>
                </mc:Fallback>
              </mc:AlternateContent>
            </w:r>
            <w:r w:rsidRPr="004A34EE">
              <w:rPr>
                <w:rFonts w:eastAsia="Calibri"/>
                <w:lang w:eastAsia="en-US" w:bidi="ar-SA"/>
              </w:rPr>
              <w:t>Year</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t=2018</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t=2019</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t=2020</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t=2021</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t=2022</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t=2023</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t=2024</w:t>
            </w:r>
          </w:p>
        </w:tc>
      </w:tr>
      <w:tr w:rsidR="00151657" w:rsidRPr="00151657" w:rsidTr="00151657">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RAB_TN</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4.720</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9.359</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9.280</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9.201</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9.123</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9.045</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8.969</w:t>
            </w:r>
          </w:p>
        </w:tc>
      </w:tr>
      <w:tr w:rsidR="00151657" w:rsidRPr="00151657" w:rsidTr="00151657">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RAB_T5Y</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0.490</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0.728</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0.970</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0.794</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0.597</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0.599</w:t>
            </w:r>
          </w:p>
        </w:tc>
        <w:tc>
          <w:tcPr>
            <w:tcW w:w="1127" w:type="dxa"/>
            <w:tcBorders>
              <w:top w:val="single" w:sz="4" w:space="0" w:color="auto"/>
              <w:left w:val="single" w:sz="4" w:space="0" w:color="auto"/>
              <w:bottom w:val="single" w:sz="4" w:space="0" w:color="auto"/>
              <w:right w:val="single" w:sz="4" w:space="0" w:color="auto"/>
            </w:tcBorders>
            <w:hideMark/>
          </w:tcPr>
          <w:p w:rsidR="00151657" w:rsidRPr="004A34EE" w:rsidRDefault="00151657" w:rsidP="00151657">
            <w:pPr>
              <w:rPr>
                <w:rFonts w:eastAsia="Calibri"/>
                <w:lang w:eastAsia="en-US" w:bidi="ar-SA"/>
              </w:rPr>
            </w:pPr>
            <w:r w:rsidRPr="004A34EE">
              <w:rPr>
                <w:rFonts w:eastAsia="Calibri"/>
                <w:lang w:eastAsia="en-US" w:bidi="ar-SA"/>
              </w:rPr>
              <w:t>0.605</w:t>
            </w:r>
          </w:p>
        </w:tc>
      </w:tr>
    </w:tbl>
    <w:p w:rsidR="00FA5443" w:rsidRDefault="00FA5443">
      <w:pPr>
        <w:rPr>
          <w:color w:val="000000"/>
          <w:sz w:val="24"/>
          <w:szCs w:val="24"/>
          <w:shd w:val="clear" w:color="auto" w:fill="FFFFFF"/>
        </w:rPr>
      </w:pPr>
    </w:p>
    <w:p w:rsidR="00151657" w:rsidRPr="00151657" w:rsidRDefault="00151657" w:rsidP="004A34EE">
      <w:pPr>
        <w:spacing w:line="276" w:lineRule="auto"/>
        <w:rPr>
          <w:color w:val="000000"/>
          <w:sz w:val="24"/>
          <w:szCs w:val="24"/>
          <w:shd w:val="clear" w:color="auto" w:fill="FFFFFF"/>
        </w:rPr>
      </w:pPr>
      <w:r w:rsidRPr="00151657">
        <w:rPr>
          <w:color w:val="000000"/>
          <w:sz w:val="24"/>
          <w:szCs w:val="24"/>
          <w:shd w:val="clear" w:color="auto" w:fill="FFFFFF"/>
        </w:rPr>
        <w:t xml:space="preserve">In section </w:t>
      </w:r>
      <w:r w:rsidRPr="00151657">
        <w:rPr>
          <w:b/>
          <w:color w:val="000000"/>
          <w:sz w:val="24"/>
          <w:szCs w:val="24"/>
          <w:shd w:val="clear" w:color="auto" w:fill="FFFFFF"/>
        </w:rPr>
        <w:t>6</w:t>
      </w:r>
      <w:r w:rsidRPr="00151657">
        <w:rPr>
          <w:color w:val="000000"/>
          <w:sz w:val="24"/>
          <w:szCs w:val="24"/>
          <w:shd w:val="clear" w:color="auto" w:fill="FFFFFF"/>
        </w:rPr>
        <w:t xml:space="preserve">. </w:t>
      </w:r>
      <w:r w:rsidRPr="00151657">
        <w:rPr>
          <w:b/>
          <w:color w:val="000000"/>
          <w:sz w:val="24"/>
          <w:szCs w:val="24"/>
          <w:shd w:val="clear" w:color="auto" w:fill="FFFFFF"/>
        </w:rPr>
        <w:t>The Opex amount - O</w:t>
      </w:r>
      <w:r w:rsidRPr="00151657">
        <w:rPr>
          <w:b/>
          <w:color w:val="000000"/>
          <w:sz w:val="24"/>
          <w:szCs w:val="24"/>
          <w:shd w:val="clear" w:color="auto" w:fill="FFFFFF"/>
          <w:vertAlign w:val="subscript"/>
        </w:rPr>
        <w:t xml:space="preserve">t </w:t>
      </w:r>
      <w:r w:rsidRPr="00151657">
        <w:rPr>
          <w:color w:val="000000"/>
          <w:sz w:val="24"/>
          <w:szCs w:val="24"/>
          <w:shd w:val="clear" w:color="auto" w:fill="FFFFFF"/>
        </w:rPr>
        <w:t xml:space="preserve">subsection 6.14 </w:t>
      </w:r>
      <w:r w:rsidRPr="00151657">
        <w:rPr>
          <w:b/>
          <w:color w:val="000000"/>
          <w:sz w:val="24"/>
          <w:szCs w:val="24"/>
          <w:shd w:val="clear" w:color="auto" w:fill="FFFFFF"/>
        </w:rPr>
        <w:t>Allowed opex other amount – AOO</w:t>
      </w:r>
      <w:r w:rsidRPr="00151657">
        <w:rPr>
          <w:b/>
          <w:color w:val="000000"/>
          <w:sz w:val="24"/>
          <w:szCs w:val="24"/>
          <w:shd w:val="clear" w:color="auto" w:fill="FFFFFF"/>
          <w:vertAlign w:val="subscript"/>
        </w:rPr>
        <w:t xml:space="preserve">t </w:t>
      </w:r>
      <w:r w:rsidR="00922807">
        <w:rPr>
          <w:color w:val="000000"/>
          <w:sz w:val="24"/>
          <w:szCs w:val="24"/>
          <w:shd w:val="clear" w:color="auto" w:fill="FFFFFF"/>
        </w:rPr>
        <w:t>condition</w:t>
      </w:r>
      <w:r w:rsidRPr="00151657">
        <w:rPr>
          <w:color w:val="000000"/>
          <w:sz w:val="24"/>
          <w:szCs w:val="24"/>
          <w:shd w:val="clear" w:color="auto" w:fill="FFFFFF"/>
        </w:rPr>
        <w:t xml:space="preserve"> 6.15 will be amended as follows:</w:t>
      </w:r>
    </w:p>
    <w:p w:rsidR="00FA5443" w:rsidRDefault="00FA5443">
      <w:pPr>
        <w:rPr>
          <w:color w:val="000000"/>
          <w:sz w:val="24"/>
          <w:szCs w:val="24"/>
          <w:shd w:val="clear" w:color="auto" w:fill="FFFFFF"/>
        </w:rPr>
      </w:pPr>
    </w:p>
    <w:p w:rsidR="00922807" w:rsidRPr="004A34EE" w:rsidRDefault="00922807" w:rsidP="004A34EE">
      <w:pPr>
        <w:spacing w:line="276" w:lineRule="auto"/>
        <w:rPr>
          <w:color w:val="000000"/>
          <w:sz w:val="24"/>
          <w:szCs w:val="24"/>
          <w:shd w:val="clear" w:color="auto" w:fill="FFFFFF"/>
        </w:rPr>
      </w:pPr>
      <w:r w:rsidRPr="004A34EE">
        <w:rPr>
          <w:color w:val="000000"/>
          <w:sz w:val="24"/>
          <w:szCs w:val="24"/>
          <w:shd w:val="clear" w:color="auto" w:fill="FFFFFF"/>
        </w:rPr>
        <w:t>6.15. For the purposes of this Annex, in each Regulatory Reporting Year t, the allowed opex other amount (AOO</w:t>
      </w:r>
      <w:r w:rsidRPr="004A34EE">
        <w:rPr>
          <w:color w:val="000000"/>
          <w:sz w:val="24"/>
          <w:szCs w:val="24"/>
          <w:shd w:val="clear" w:color="auto" w:fill="FFFFFF"/>
          <w:vertAlign w:val="subscript"/>
        </w:rPr>
        <w:t>t</w:t>
      </w:r>
      <w:r w:rsidRPr="004A34EE">
        <w:rPr>
          <w:color w:val="000000"/>
          <w:sz w:val="24"/>
          <w:szCs w:val="24"/>
          <w:shd w:val="clear" w:color="auto" w:fill="FFFFFF"/>
        </w:rPr>
        <w:t>), being the amounts for other opex items listed immediately below, shall be calculated as follows:</w:t>
      </w:r>
    </w:p>
    <w:p w:rsidR="00922807" w:rsidRPr="004A34EE" w:rsidRDefault="00922807" w:rsidP="004A34EE">
      <w:pPr>
        <w:spacing w:line="276" w:lineRule="auto"/>
        <w:rPr>
          <w:color w:val="000000"/>
          <w:sz w:val="24"/>
          <w:szCs w:val="24"/>
          <w:shd w:val="clear" w:color="auto" w:fill="FFFFFF"/>
        </w:rPr>
      </w:pPr>
    </w:p>
    <w:p w:rsidR="00922807" w:rsidRPr="004A34EE" w:rsidRDefault="00922807" w:rsidP="004A34EE">
      <w:pPr>
        <w:spacing w:line="276" w:lineRule="auto"/>
        <w:rPr>
          <w:color w:val="000000"/>
          <w:sz w:val="24"/>
          <w:szCs w:val="24"/>
          <w:shd w:val="clear" w:color="auto" w:fill="FFFFFF"/>
        </w:rPr>
      </w:pPr>
      <w:r w:rsidRPr="004A34EE">
        <w:rPr>
          <w:color w:val="000000"/>
          <w:sz w:val="24"/>
          <w:szCs w:val="24"/>
          <w:shd w:val="clear" w:color="auto" w:fill="FFFFFF"/>
        </w:rPr>
        <w:t>AOO</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 IA</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 COL</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w:t>
      </w:r>
      <w:r w:rsidRPr="004A34EE">
        <w:rPr>
          <w:color w:val="FF0000"/>
          <w:sz w:val="24"/>
          <w:szCs w:val="24"/>
          <w:shd w:val="clear" w:color="auto" w:fill="FFFFFF"/>
        </w:rPr>
        <w:t>+ NES</w:t>
      </w:r>
      <w:r w:rsidRPr="004A34EE">
        <w:rPr>
          <w:color w:val="FF0000"/>
          <w:sz w:val="24"/>
          <w:szCs w:val="24"/>
          <w:shd w:val="clear" w:color="auto" w:fill="FFFFFF"/>
          <w:vertAlign w:val="subscript"/>
        </w:rPr>
        <w:t>t</w:t>
      </w:r>
    </w:p>
    <w:p w:rsidR="00922807" w:rsidRPr="004A34EE" w:rsidRDefault="00922807" w:rsidP="004A34EE">
      <w:pPr>
        <w:spacing w:line="276" w:lineRule="auto"/>
        <w:rPr>
          <w:color w:val="000000"/>
          <w:sz w:val="24"/>
          <w:szCs w:val="24"/>
          <w:shd w:val="clear" w:color="auto" w:fill="FFFFFF"/>
        </w:rPr>
      </w:pPr>
    </w:p>
    <w:p w:rsidR="00922807" w:rsidRPr="004A34EE" w:rsidRDefault="00922807" w:rsidP="004A34EE">
      <w:pPr>
        <w:spacing w:line="276" w:lineRule="auto"/>
        <w:rPr>
          <w:color w:val="000000"/>
          <w:sz w:val="24"/>
          <w:szCs w:val="24"/>
          <w:shd w:val="clear" w:color="auto" w:fill="FFFFFF"/>
        </w:rPr>
      </w:pPr>
      <w:r w:rsidRPr="004A34EE">
        <w:rPr>
          <w:color w:val="000000"/>
          <w:sz w:val="24"/>
          <w:szCs w:val="24"/>
          <w:shd w:val="clear" w:color="auto" w:fill="FFFFFF"/>
        </w:rPr>
        <w:t>Where:</w:t>
      </w:r>
    </w:p>
    <w:p w:rsidR="00922807" w:rsidRPr="004A34EE" w:rsidRDefault="00922807" w:rsidP="004A34EE">
      <w:pPr>
        <w:spacing w:line="276" w:lineRule="auto"/>
        <w:rPr>
          <w:color w:val="000000"/>
          <w:sz w:val="24"/>
          <w:szCs w:val="24"/>
          <w:shd w:val="clear" w:color="auto" w:fill="FFFFFF"/>
        </w:rPr>
      </w:pPr>
    </w:p>
    <w:p w:rsidR="00922807" w:rsidRPr="004A34EE" w:rsidRDefault="00922807" w:rsidP="004A34EE">
      <w:pPr>
        <w:spacing w:line="276" w:lineRule="auto"/>
        <w:rPr>
          <w:color w:val="000000"/>
          <w:sz w:val="24"/>
          <w:szCs w:val="24"/>
          <w:shd w:val="clear" w:color="auto" w:fill="FFFFFF"/>
        </w:rPr>
      </w:pPr>
      <w:r w:rsidRPr="004A34EE">
        <w:rPr>
          <w:color w:val="000000"/>
          <w:sz w:val="24"/>
          <w:szCs w:val="24"/>
          <w:shd w:val="clear" w:color="auto" w:fill="FFFFFF"/>
        </w:rPr>
        <w:t>IA</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is the allowed opex amount</w:t>
      </w:r>
      <w:r w:rsidR="00F15BF6">
        <w:rPr>
          <w:color w:val="000000"/>
          <w:sz w:val="24"/>
          <w:szCs w:val="24"/>
          <w:shd w:val="clear" w:color="auto" w:fill="FFFFFF"/>
        </w:rPr>
        <w:t xml:space="preserve"> (if any)</w:t>
      </w:r>
      <w:r w:rsidRPr="004A34EE">
        <w:rPr>
          <w:color w:val="000000"/>
          <w:sz w:val="24"/>
          <w:szCs w:val="24"/>
          <w:shd w:val="clear" w:color="auto" w:fill="FFFFFF"/>
        </w:rPr>
        <w:t xml:space="preserve"> in Regulatory Reporting Year t, for injurious affectation, being the amount that the Authority determines in a published decision to be appropriate for the Licensee to recover in respect of injurious affectation claims in that Regulatory Reporting Year; </w:t>
      </w:r>
    </w:p>
    <w:p w:rsidR="00922807" w:rsidRPr="004A34EE" w:rsidRDefault="00922807" w:rsidP="004A34EE">
      <w:pPr>
        <w:spacing w:line="276" w:lineRule="auto"/>
        <w:rPr>
          <w:color w:val="000000"/>
          <w:sz w:val="24"/>
          <w:szCs w:val="24"/>
          <w:shd w:val="clear" w:color="auto" w:fill="FFFFFF"/>
        </w:rPr>
      </w:pPr>
    </w:p>
    <w:p w:rsidR="00FA5443" w:rsidRPr="00922807" w:rsidRDefault="00922807" w:rsidP="004A34EE">
      <w:pPr>
        <w:spacing w:line="276" w:lineRule="auto"/>
        <w:rPr>
          <w:color w:val="000000"/>
          <w:sz w:val="24"/>
          <w:szCs w:val="24"/>
          <w:shd w:val="clear" w:color="auto" w:fill="FFFFFF"/>
        </w:rPr>
      </w:pPr>
      <w:r w:rsidRPr="004A34EE">
        <w:rPr>
          <w:color w:val="000000"/>
          <w:sz w:val="24"/>
          <w:szCs w:val="24"/>
          <w:shd w:val="clear" w:color="auto" w:fill="FFFFFF"/>
        </w:rPr>
        <w:t>COL</w:t>
      </w:r>
      <w:r w:rsidRPr="004A34EE">
        <w:rPr>
          <w:color w:val="000000"/>
          <w:sz w:val="24"/>
          <w:szCs w:val="24"/>
          <w:shd w:val="clear" w:color="auto" w:fill="FFFFFF"/>
          <w:vertAlign w:val="subscript"/>
        </w:rPr>
        <w:t>t</w:t>
      </w:r>
      <w:r w:rsidRPr="004A34EE">
        <w:rPr>
          <w:color w:val="000000"/>
          <w:sz w:val="24"/>
          <w:szCs w:val="24"/>
          <w:shd w:val="clear" w:color="auto" w:fill="FFFFFF"/>
        </w:rPr>
        <w:t xml:space="preserve"> is the allowed opex amount</w:t>
      </w:r>
      <w:r w:rsidR="00F15BF6">
        <w:rPr>
          <w:color w:val="000000"/>
          <w:sz w:val="24"/>
          <w:szCs w:val="24"/>
          <w:shd w:val="clear" w:color="auto" w:fill="FFFFFF"/>
        </w:rPr>
        <w:t xml:space="preserve"> (if any)</w:t>
      </w:r>
      <w:r w:rsidRPr="004A34EE">
        <w:rPr>
          <w:color w:val="000000"/>
          <w:sz w:val="24"/>
          <w:szCs w:val="24"/>
          <w:shd w:val="clear" w:color="auto" w:fill="FFFFFF"/>
        </w:rPr>
        <w:t xml:space="preserve"> for changes of law, in an amount determined by the Authority to be appropriate in accordance with paragraph 6.16; and</w:t>
      </w:r>
    </w:p>
    <w:p w:rsidR="00C02BEC" w:rsidRDefault="00C02BEC" w:rsidP="004A34EE">
      <w:pPr>
        <w:spacing w:line="276" w:lineRule="auto"/>
        <w:rPr>
          <w:strike/>
          <w:color w:val="FF0000"/>
          <w:sz w:val="24"/>
          <w:szCs w:val="24"/>
          <w:shd w:val="clear" w:color="auto" w:fill="FFFFFF"/>
        </w:rPr>
      </w:pPr>
    </w:p>
    <w:p w:rsidR="00C02BEC"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NES</w:t>
      </w:r>
      <w:r w:rsidRPr="001F4F8C">
        <w:rPr>
          <w:color w:val="FF0000"/>
          <w:sz w:val="24"/>
          <w:szCs w:val="24"/>
          <w:shd w:val="clear" w:color="auto" w:fill="FFFFFF"/>
          <w:vertAlign w:val="subscript"/>
        </w:rPr>
        <w:t>t</w:t>
      </w:r>
      <w:r w:rsidRPr="004A34EE">
        <w:rPr>
          <w:color w:val="FF0000"/>
          <w:sz w:val="24"/>
          <w:szCs w:val="24"/>
          <w:shd w:val="clear" w:color="auto" w:fill="FFFFFF"/>
        </w:rPr>
        <w:t xml:space="preserve"> is the allowed opex amount (if any) in Regulatory Reporting Year t, up to and including Regulatory Reporting Year t=2024 only, being the amount the Authority determines in a published decision, to be appropriate for the Licensee to recover in respect of:</w:t>
      </w:r>
    </w:p>
    <w:p w:rsidR="00254F4A" w:rsidRPr="004A34EE" w:rsidRDefault="00254F4A" w:rsidP="00C02BEC">
      <w:pPr>
        <w:spacing w:line="276" w:lineRule="auto"/>
        <w:rPr>
          <w:color w:val="FF0000"/>
          <w:sz w:val="24"/>
          <w:szCs w:val="24"/>
          <w:shd w:val="clear" w:color="auto" w:fill="FFFFFF"/>
        </w:rPr>
      </w:pPr>
    </w:p>
    <w:p w:rsidR="00C02BEC" w:rsidRPr="004A34EE"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(a)</w:t>
      </w:r>
      <w:r w:rsidRPr="004A34EE">
        <w:rPr>
          <w:color w:val="FF0000"/>
          <w:sz w:val="24"/>
          <w:szCs w:val="24"/>
          <w:shd w:val="clear" w:color="auto" w:fill="FFFFFF"/>
        </w:rPr>
        <w:tab/>
        <w:t xml:space="preserve">a New Energy Strategy IT Solution;  </w:t>
      </w:r>
    </w:p>
    <w:p w:rsidR="00C02BEC" w:rsidRPr="004A34EE" w:rsidRDefault="00C02BEC" w:rsidP="00C02BEC">
      <w:pPr>
        <w:spacing w:line="276" w:lineRule="auto"/>
        <w:rPr>
          <w:color w:val="FF0000"/>
          <w:sz w:val="24"/>
          <w:szCs w:val="24"/>
          <w:shd w:val="clear" w:color="auto" w:fill="FFFFFF"/>
        </w:rPr>
      </w:pPr>
      <w:r w:rsidRPr="004A34EE">
        <w:rPr>
          <w:color w:val="FF0000"/>
          <w:sz w:val="24"/>
          <w:szCs w:val="24"/>
          <w:shd w:val="clear" w:color="auto" w:fill="FFFFFF"/>
        </w:rPr>
        <w:t>(b)</w:t>
      </w:r>
      <w:r w:rsidRPr="004A34EE">
        <w:rPr>
          <w:color w:val="FF0000"/>
          <w:sz w:val="24"/>
          <w:szCs w:val="24"/>
          <w:shd w:val="clear" w:color="auto" w:fill="FFFFFF"/>
        </w:rPr>
        <w:tab/>
        <w:t>any significant changes required to the specification of the information technology systems utilised by the Licensee for the purposes of providing the Market Data Service or the Market Registration Service.</w:t>
      </w:r>
    </w:p>
    <w:p w:rsidR="00C02BEC" w:rsidRPr="004A34EE" w:rsidRDefault="00C02BEC" w:rsidP="004A34EE">
      <w:pPr>
        <w:spacing w:line="276" w:lineRule="auto"/>
        <w:rPr>
          <w:strike/>
          <w:color w:val="FF0000"/>
          <w:sz w:val="24"/>
          <w:szCs w:val="24"/>
          <w:shd w:val="clear" w:color="auto" w:fill="FFFFFF"/>
        </w:rPr>
      </w:pPr>
    </w:p>
    <w:p w:rsidR="00FA5443" w:rsidRDefault="00FA5443">
      <w:pPr>
        <w:rPr>
          <w:color w:val="000000"/>
          <w:sz w:val="24"/>
          <w:szCs w:val="24"/>
          <w:shd w:val="clear" w:color="auto" w:fill="FFFFFF"/>
        </w:rPr>
      </w:pPr>
    </w:p>
    <w:p w:rsidR="00FA5443" w:rsidRDefault="00FA5443">
      <w:pPr>
        <w:rPr>
          <w:color w:val="000000"/>
          <w:sz w:val="24"/>
          <w:szCs w:val="24"/>
          <w:shd w:val="clear" w:color="auto" w:fill="FFFFFF"/>
        </w:rPr>
      </w:pPr>
      <w:r>
        <w:rPr>
          <w:color w:val="000000"/>
          <w:sz w:val="24"/>
          <w:szCs w:val="24"/>
          <w:shd w:val="clear" w:color="auto" w:fill="FFFFFF"/>
        </w:rPr>
        <w:br w:type="page"/>
      </w:r>
    </w:p>
    <w:p w:rsidR="00FB2955" w:rsidRPr="004C3020" w:rsidRDefault="00FB2955" w:rsidP="004A34EE">
      <w:pPr>
        <w:pStyle w:val="URExecSumparagraph"/>
        <w:rPr>
          <w:b/>
          <w:sz w:val="40"/>
          <w:szCs w:val="40"/>
        </w:rPr>
      </w:pPr>
      <w:r w:rsidRPr="004C3020">
        <w:rPr>
          <w:b/>
          <w:sz w:val="40"/>
          <w:szCs w:val="40"/>
        </w:rPr>
        <w:lastRenderedPageBreak/>
        <w:t xml:space="preserve">Annex </w:t>
      </w:r>
      <w:r w:rsidR="00347B6C">
        <w:rPr>
          <w:b/>
          <w:sz w:val="40"/>
          <w:szCs w:val="40"/>
        </w:rPr>
        <w:t>C</w:t>
      </w:r>
    </w:p>
    <w:p w:rsidR="000600D1" w:rsidRDefault="00FB2955" w:rsidP="004C3020">
      <w:pPr>
        <w:pStyle w:val="URExecSumparagraph"/>
        <w:ind w:left="720"/>
        <w:jc w:val="center"/>
        <w:rPr>
          <w:b/>
          <w:color w:val="F79646" w:themeColor="accent6"/>
          <w:sz w:val="40"/>
          <w:szCs w:val="40"/>
        </w:rPr>
      </w:pPr>
      <w:r w:rsidRPr="004C3020">
        <w:rPr>
          <w:b/>
          <w:color w:val="F79646" w:themeColor="accent6"/>
          <w:sz w:val="40"/>
          <w:szCs w:val="40"/>
        </w:rPr>
        <w:t>Notice under Article 14(2) of the Electricity (Northern Ireland) Order 1992 – Modifications Proposed to Annex 2 of the Electricity Distribution Licence Held by Northern Ireland Electricity Networks (Ltd)</w:t>
      </w:r>
    </w:p>
    <w:p w:rsidR="00FB2955" w:rsidRDefault="00FB2955" w:rsidP="004C3020">
      <w:pPr>
        <w:pStyle w:val="URExecSumparagraph"/>
        <w:ind w:left="720"/>
        <w:jc w:val="center"/>
        <w:rPr>
          <w:b/>
          <w:color w:val="F79646" w:themeColor="accent6"/>
          <w:sz w:val="40"/>
          <w:szCs w:val="40"/>
        </w:rPr>
      </w:pPr>
    </w:p>
    <w:p w:rsidR="00FB2955" w:rsidRDefault="00FB2955" w:rsidP="004C3020">
      <w:pPr>
        <w:pStyle w:val="URExecSumparagraph"/>
        <w:ind w:left="720"/>
        <w:jc w:val="center"/>
        <w:rPr>
          <w:b/>
        </w:rPr>
      </w:pPr>
      <w:r w:rsidRPr="004C3020">
        <w:rPr>
          <w:b/>
        </w:rPr>
        <w:t>THE NORTHERN IRELAND AUTHORITY FOR UTILITY REGULATION NOTICE UNDER ARTICLE 14(2) OF THE ELECTRICITY (NORTHERN IRELAND) ORDER 1992 MODIFICATIONS PROPOSED TO THE ELECTRICITY DISTRIBUTION LICENCE HELD BY NORTHERN IRELAND ELECTRICITY NETWORKS</w:t>
      </w:r>
    </w:p>
    <w:p w:rsidR="00FB2955" w:rsidRDefault="00FB2955" w:rsidP="004C3020">
      <w:pPr>
        <w:pStyle w:val="URExecSumparagraph"/>
        <w:ind w:left="720"/>
      </w:pPr>
      <w:r>
        <w:t>The Northern Ireland Authority for Utility Regulation ('the Authority') proposes to modify the conditions of a licence in exercise of the powers conferred on it by Article 14(1) of the Electricity (Northern Ireland) Order 1992 (“the Order”).</w:t>
      </w:r>
    </w:p>
    <w:p w:rsidR="00FB2955" w:rsidRDefault="00FB2955" w:rsidP="004C3020">
      <w:pPr>
        <w:pStyle w:val="URExecSumparagraph"/>
        <w:ind w:left="720"/>
      </w:pPr>
      <w:r>
        <w:t xml:space="preserve"> In accordance with Article 14(2) of the Order the Authority gives notice as follows: </w:t>
      </w:r>
    </w:p>
    <w:p w:rsidR="00FB2955" w:rsidRDefault="00FB2955" w:rsidP="00B52125">
      <w:pPr>
        <w:pStyle w:val="URExecSumparagraph"/>
        <w:ind w:left="720" w:hanging="720"/>
      </w:pPr>
      <w:r>
        <w:t xml:space="preserve">1. </w:t>
      </w:r>
      <w:r w:rsidR="00B52125">
        <w:tab/>
      </w:r>
      <w:r>
        <w:t xml:space="preserve">The Authority proposes to make modifications to the Electricity Distribution licence (“the Licence”) held by Northern Ireland Electricity Networks Limited (“the Licensee”). </w:t>
      </w:r>
    </w:p>
    <w:p w:rsidR="00FB2955" w:rsidRDefault="00FB2955" w:rsidP="00B52125">
      <w:pPr>
        <w:pStyle w:val="URExecSumparagraph"/>
        <w:ind w:left="720" w:hanging="720"/>
      </w:pPr>
      <w:r>
        <w:t xml:space="preserve">2. </w:t>
      </w:r>
      <w:r w:rsidR="00B52125">
        <w:tab/>
      </w:r>
      <w:r>
        <w:t xml:space="preserve">Details of the proposed modifications are set out in chapter 3 of </w:t>
      </w:r>
      <w:r w:rsidR="00FD61DD">
        <w:t xml:space="preserve">the current </w:t>
      </w:r>
      <w:r>
        <w:t>consultation paper on</w:t>
      </w:r>
      <w:r w:rsidR="00FD61DD">
        <w:t xml:space="preserve"> Licence Modifications for new IT requirements</w:t>
      </w:r>
      <w:r>
        <w:t xml:space="preserve"> to NIE Networks</w:t>
      </w:r>
      <w:r w:rsidR="00A4730D">
        <w:t xml:space="preserve"> Transmission and</w:t>
      </w:r>
      <w:r>
        <w:t xml:space="preserve"> Distribution Licence</w:t>
      </w:r>
      <w:r w:rsidR="00A4730D">
        <w:t>s</w:t>
      </w:r>
      <w:r>
        <w:t xml:space="preserve"> as well as in Annex A to th</w:t>
      </w:r>
      <w:r w:rsidR="00A4730D">
        <w:t>e</w:t>
      </w:r>
      <w:r>
        <w:t xml:space="preserve"> consultation paper. </w:t>
      </w:r>
    </w:p>
    <w:p w:rsidR="00FB2955" w:rsidRDefault="00FB2955" w:rsidP="00B52125">
      <w:pPr>
        <w:pStyle w:val="URExecSumparagraph"/>
        <w:ind w:left="720" w:hanging="720"/>
      </w:pPr>
      <w:r>
        <w:t xml:space="preserve">3. </w:t>
      </w:r>
      <w:r w:rsidR="00B52125">
        <w:tab/>
      </w:r>
      <w:r>
        <w:t xml:space="preserve">The reasons for the proposed licence modifications are set out in chapter 3 of the consultation paper. </w:t>
      </w:r>
    </w:p>
    <w:p w:rsidR="00FB2955" w:rsidRDefault="00FB2955" w:rsidP="00B52125">
      <w:pPr>
        <w:pStyle w:val="URExecSumparagraph"/>
        <w:ind w:left="720" w:hanging="720"/>
      </w:pPr>
      <w:r>
        <w:t xml:space="preserve">4. </w:t>
      </w:r>
      <w:r w:rsidR="00B52125">
        <w:tab/>
      </w:r>
      <w:r>
        <w:t xml:space="preserve">The effects of the proposed licence modifications are set out in chapter 3 of the consultation paper. </w:t>
      </w:r>
    </w:p>
    <w:p w:rsidR="009044DC" w:rsidRDefault="00FB2955" w:rsidP="00B52125">
      <w:pPr>
        <w:pStyle w:val="URExecSumparagraph"/>
        <w:ind w:left="720" w:hanging="720"/>
      </w:pPr>
      <w:r>
        <w:t xml:space="preserve">5. </w:t>
      </w:r>
      <w:r w:rsidR="00B52125">
        <w:tab/>
      </w:r>
      <w:r>
        <w:t>Representations with respect to the proposed modifications may be made on or before 5pm on</w:t>
      </w:r>
      <w:r w:rsidR="00FD61DD">
        <w:t xml:space="preserve"> </w:t>
      </w:r>
      <w:r w:rsidR="00FF7F39">
        <w:t>5 April</w:t>
      </w:r>
      <w:r w:rsidR="00FD61DD">
        <w:t xml:space="preserve"> 2021</w:t>
      </w:r>
      <w:r>
        <w:t xml:space="preserve"> to: </w:t>
      </w:r>
    </w:p>
    <w:p w:rsidR="00D40EE8" w:rsidRDefault="00D40EE8" w:rsidP="004A34EE">
      <w:pPr>
        <w:pStyle w:val="URExecSumparagraph"/>
        <w:spacing w:line="240" w:lineRule="auto"/>
        <w:ind w:left="720"/>
      </w:pPr>
    </w:p>
    <w:p w:rsidR="009044DC" w:rsidRDefault="00FB2955" w:rsidP="004A34EE">
      <w:pPr>
        <w:pStyle w:val="URExecSumparagraph"/>
        <w:spacing w:line="240" w:lineRule="auto"/>
        <w:ind w:left="720"/>
      </w:pPr>
      <w:r>
        <w:lastRenderedPageBreak/>
        <w:t xml:space="preserve">Ruairi McCann </w:t>
      </w:r>
    </w:p>
    <w:p w:rsidR="009044DC" w:rsidRDefault="00FB2955" w:rsidP="004A34EE">
      <w:pPr>
        <w:pStyle w:val="URExecSumparagraph"/>
        <w:spacing w:line="240" w:lineRule="auto"/>
        <w:ind w:left="720"/>
      </w:pPr>
      <w:r>
        <w:t xml:space="preserve">Utility Regulator </w:t>
      </w:r>
    </w:p>
    <w:p w:rsidR="009044DC" w:rsidRDefault="00FB2955" w:rsidP="004A34EE">
      <w:pPr>
        <w:pStyle w:val="URExecSumparagraph"/>
        <w:spacing w:line="240" w:lineRule="auto"/>
        <w:ind w:left="720"/>
      </w:pPr>
      <w:r>
        <w:t xml:space="preserve">Queens House </w:t>
      </w:r>
    </w:p>
    <w:p w:rsidR="009044DC" w:rsidRDefault="00FB2955" w:rsidP="004A34EE">
      <w:pPr>
        <w:pStyle w:val="URExecSumparagraph"/>
        <w:spacing w:line="240" w:lineRule="auto"/>
        <w:ind w:left="720"/>
      </w:pPr>
      <w:r>
        <w:t xml:space="preserve">14 Queens Street </w:t>
      </w:r>
    </w:p>
    <w:p w:rsidR="009044DC" w:rsidRDefault="00FB2955" w:rsidP="004A34EE">
      <w:pPr>
        <w:pStyle w:val="URExecSumparagraph"/>
        <w:spacing w:line="240" w:lineRule="auto"/>
        <w:ind w:left="720"/>
      </w:pPr>
      <w:r>
        <w:t xml:space="preserve">Belfast </w:t>
      </w:r>
    </w:p>
    <w:p w:rsidR="009044DC" w:rsidRDefault="00FB2955" w:rsidP="004A34EE">
      <w:pPr>
        <w:pStyle w:val="URExecSumparagraph"/>
        <w:spacing w:line="240" w:lineRule="auto"/>
        <w:ind w:left="720"/>
      </w:pPr>
      <w:r>
        <w:t xml:space="preserve">BT1 6ED </w:t>
      </w:r>
    </w:p>
    <w:p w:rsidR="00FB2955" w:rsidRDefault="00FB2955" w:rsidP="004A34EE">
      <w:pPr>
        <w:pStyle w:val="URExecSumparagraph"/>
        <w:ind w:left="720"/>
      </w:pPr>
      <w:r>
        <w:t xml:space="preserve">Email: electricity_network_reporting@uregni.gov.uk with cc to </w:t>
      </w:r>
      <w:hyperlink r:id="rId25" w:history="1">
        <w:r w:rsidRPr="004C3020">
          <w:rPr>
            <w:rStyle w:val="Hyperlink"/>
          </w:rPr>
          <w:t>ruairi.mccann@uregni.gov.uk</w:t>
        </w:r>
      </w:hyperlink>
      <w:r>
        <w:t xml:space="preserve"> </w:t>
      </w:r>
    </w:p>
    <w:p w:rsidR="00FB2955" w:rsidRDefault="00FB2955" w:rsidP="00B52125">
      <w:pPr>
        <w:pStyle w:val="URExecSumparagraph"/>
        <w:ind w:left="720" w:hanging="720"/>
      </w:pPr>
      <w:r>
        <w:t xml:space="preserve">6. </w:t>
      </w:r>
      <w:r w:rsidR="00B52125">
        <w:tab/>
      </w:r>
      <w:r>
        <w:t xml:space="preserve">The Authority has, pursuant to Article 14(4) of the Order, sent a copy of this notice to the Licensee, the Department for the Economy and also to the General Consumer Council for Northern Ireland. </w:t>
      </w:r>
    </w:p>
    <w:p w:rsidR="00FB2955" w:rsidRDefault="00FB2955" w:rsidP="00B52125">
      <w:pPr>
        <w:pStyle w:val="URExecSumparagraph"/>
        <w:ind w:left="720" w:hanging="720"/>
      </w:pPr>
      <w:r>
        <w:t xml:space="preserve">7. </w:t>
      </w:r>
      <w:r w:rsidR="00B52125">
        <w:tab/>
      </w:r>
      <w:r>
        <w:t>A copy of this notice and the proposed modifications can be obtained in hard copy form from the Authority by contacting Ruairi McCann at the contact details above.</w:t>
      </w:r>
    </w:p>
    <w:p w:rsidR="00D40EE8" w:rsidRDefault="00D40EE8" w:rsidP="00D40EE8">
      <w:pPr>
        <w:pStyle w:val="URExecSumparagraph"/>
        <w:ind w:left="720"/>
      </w:pPr>
      <w:r>
        <w:t xml:space="preserve">Dated this </w:t>
      </w:r>
    </w:p>
    <w:p w:rsidR="00FD61DD" w:rsidRDefault="00FD61DD" w:rsidP="00D40EE8">
      <w:pPr>
        <w:pStyle w:val="URExecSumparagraph"/>
        <w:ind w:left="720"/>
      </w:pPr>
    </w:p>
    <w:p w:rsidR="00D40EE8" w:rsidRDefault="00D40EE8" w:rsidP="00D40EE8">
      <w:pPr>
        <w:pStyle w:val="URExecSumparagraph"/>
        <w:ind w:left="720"/>
      </w:pPr>
      <w:r>
        <w:t>John French</w:t>
      </w:r>
    </w:p>
    <w:p w:rsidR="00D40EE8" w:rsidRPr="000F5377" w:rsidRDefault="00D40EE8" w:rsidP="00D40EE8">
      <w:pPr>
        <w:pStyle w:val="URExecSumparagraph"/>
        <w:ind w:left="720"/>
        <w:rPr>
          <w:b/>
          <w:color w:val="auto"/>
          <w:sz w:val="40"/>
          <w:szCs w:val="40"/>
        </w:rPr>
      </w:pPr>
      <w:r w:rsidRPr="000F5377">
        <w:rPr>
          <w:b/>
        </w:rPr>
        <w:t>For and on behalf of the Northern Ireland Authority for Utility Regulation</w:t>
      </w:r>
    </w:p>
    <w:p w:rsidR="00D40EE8" w:rsidRDefault="00D40EE8" w:rsidP="00B52125">
      <w:pPr>
        <w:pStyle w:val="URExecSumparagraph"/>
        <w:ind w:left="720" w:hanging="720"/>
      </w:pPr>
    </w:p>
    <w:p w:rsidR="00B52125" w:rsidRDefault="00B52125">
      <w:pPr>
        <w:rPr>
          <w:color w:val="000000"/>
          <w:sz w:val="24"/>
          <w:szCs w:val="24"/>
          <w:shd w:val="clear" w:color="auto" w:fill="FFFFFF"/>
        </w:rPr>
      </w:pPr>
      <w:r>
        <w:br w:type="page"/>
      </w:r>
    </w:p>
    <w:p w:rsidR="00B52125" w:rsidRDefault="00B52125" w:rsidP="00B52125">
      <w:pPr>
        <w:pStyle w:val="URExecSumparagraph"/>
        <w:ind w:left="720" w:hanging="720"/>
        <w:rPr>
          <w:b/>
          <w:color w:val="auto"/>
          <w:sz w:val="40"/>
          <w:szCs w:val="40"/>
        </w:rPr>
      </w:pPr>
      <w:r w:rsidRPr="004A34EE">
        <w:rPr>
          <w:b/>
          <w:color w:val="auto"/>
          <w:sz w:val="40"/>
          <w:szCs w:val="40"/>
        </w:rPr>
        <w:lastRenderedPageBreak/>
        <w:t>Annex D</w:t>
      </w:r>
    </w:p>
    <w:p w:rsidR="00B52125" w:rsidRDefault="00B52125" w:rsidP="00B52125">
      <w:pPr>
        <w:pStyle w:val="URExecSumparagraph"/>
        <w:ind w:left="720"/>
        <w:jc w:val="center"/>
        <w:rPr>
          <w:b/>
          <w:color w:val="F79646" w:themeColor="accent6"/>
          <w:sz w:val="40"/>
          <w:szCs w:val="40"/>
        </w:rPr>
      </w:pPr>
      <w:r w:rsidRPr="004C3020">
        <w:rPr>
          <w:b/>
          <w:color w:val="F79646" w:themeColor="accent6"/>
          <w:sz w:val="40"/>
          <w:szCs w:val="40"/>
        </w:rPr>
        <w:t>Notice under Article 14(2) of the Electricity (Northern Ireland) Order 1992 – Modifications Proposed to Annex 2</w:t>
      </w:r>
      <w:r>
        <w:rPr>
          <w:b/>
          <w:color w:val="F79646" w:themeColor="accent6"/>
          <w:sz w:val="40"/>
          <w:szCs w:val="40"/>
        </w:rPr>
        <w:t xml:space="preserve"> of the Electricity Transmission</w:t>
      </w:r>
      <w:r w:rsidRPr="004C3020">
        <w:rPr>
          <w:b/>
          <w:color w:val="F79646" w:themeColor="accent6"/>
          <w:sz w:val="40"/>
          <w:szCs w:val="40"/>
        </w:rPr>
        <w:t xml:space="preserve"> Licence Held by Northern Ireland Electricity Networks (Ltd)</w:t>
      </w:r>
    </w:p>
    <w:p w:rsidR="00B52125" w:rsidRDefault="00B52125" w:rsidP="004A34EE">
      <w:pPr>
        <w:pStyle w:val="URExecSumparagraph"/>
        <w:ind w:left="720" w:hanging="720"/>
        <w:jc w:val="center"/>
        <w:rPr>
          <w:b/>
        </w:rPr>
      </w:pPr>
      <w:r w:rsidRPr="004A34EE">
        <w:rPr>
          <w:b/>
        </w:rPr>
        <w:t xml:space="preserve">THE NORTHERN IRELAND AUTHORITY FOR UTILITY REGULATION NOTICE UNDER ARTICLE 14(2) OF THE ELECTRICITY (NORTHERN IRELAND) ORDER 1992 MODIFICATIONS PROPOSED TO THE ELECTRICITY </w:t>
      </w:r>
      <w:r w:rsidR="004A34EE">
        <w:rPr>
          <w:b/>
        </w:rPr>
        <w:t>TRANSMISSION</w:t>
      </w:r>
      <w:r w:rsidRPr="004A34EE">
        <w:rPr>
          <w:b/>
        </w:rPr>
        <w:t xml:space="preserve"> LICENCE</w:t>
      </w:r>
      <w:r w:rsidR="004A34EE">
        <w:rPr>
          <w:b/>
        </w:rPr>
        <w:t xml:space="preserve"> </w:t>
      </w:r>
      <w:r w:rsidRPr="004A34EE">
        <w:rPr>
          <w:b/>
        </w:rPr>
        <w:t>HELD BY NORTHERN IRELAND ELECTRICITY NETWORKS</w:t>
      </w:r>
    </w:p>
    <w:p w:rsidR="00B52125" w:rsidRDefault="00B52125" w:rsidP="004A34EE">
      <w:pPr>
        <w:pStyle w:val="URExecSumparagraph"/>
        <w:ind w:left="720" w:hanging="720"/>
        <w:jc w:val="center"/>
        <w:rPr>
          <w:b/>
        </w:rPr>
      </w:pPr>
    </w:p>
    <w:p w:rsidR="00B52125" w:rsidRDefault="00B52125">
      <w:pPr>
        <w:pStyle w:val="URExecSumparagraph"/>
        <w:ind w:left="720" w:hanging="720"/>
      </w:pPr>
      <w:r>
        <w:t xml:space="preserve">In accordance with Article 14(2) of the Order the Authority gives notice as follows: </w:t>
      </w:r>
    </w:p>
    <w:p w:rsidR="00B52125" w:rsidRDefault="00B52125">
      <w:pPr>
        <w:pStyle w:val="URExecSumparagraph"/>
        <w:ind w:left="720" w:hanging="720"/>
      </w:pPr>
      <w:r>
        <w:t xml:space="preserve">1. </w:t>
      </w:r>
      <w:r>
        <w:tab/>
        <w:t xml:space="preserve">The Authority proposes to make modifications to the Electricity Transmission licence (“the Licence”) held by Northern Ireland Electricity Networks Limited (“the Licensee”). </w:t>
      </w:r>
    </w:p>
    <w:p w:rsidR="00B52125" w:rsidRDefault="00B52125">
      <w:pPr>
        <w:pStyle w:val="URExecSumparagraph"/>
        <w:ind w:left="720" w:hanging="720"/>
      </w:pPr>
      <w:r>
        <w:t xml:space="preserve">2. </w:t>
      </w:r>
      <w:r>
        <w:tab/>
        <w:t xml:space="preserve">Details of the proposed modifications are set out in chapter 3 of the </w:t>
      </w:r>
      <w:r w:rsidR="00A4730D">
        <w:t xml:space="preserve">current </w:t>
      </w:r>
      <w:r>
        <w:t>consultation paper on</w:t>
      </w:r>
      <w:r w:rsidR="00A4730D" w:rsidRPr="00A4730D">
        <w:t xml:space="preserve"> </w:t>
      </w:r>
      <w:r w:rsidR="00A4730D">
        <w:t>Licence Modifications for new IT requirements</w:t>
      </w:r>
      <w:r>
        <w:t xml:space="preserve"> to NIE Networks </w:t>
      </w:r>
      <w:r w:rsidR="00A4730D">
        <w:t xml:space="preserve">Distribution and </w:t>
      </w:r>
      <w:r w:rsidRPr="00A4730D">
        <w:t>Transmission</w:t>
      </w:r>
      <w:r w:rsidR="00A4730D" w:rsidRPr="004A34EE">
        <w:t xml:space="preserve"> Licences</w:t>
      </w:r>
      <w:r w:rsidRPr="00A4730D">
        <w:t xml:space="preserve"> </w:t>
      </w:r>
      <w:r w:rsidR="00A4730D">
        <w:t>as well as in Annex B to the</w:t>
      </w:r>
      <w:r>
        <w:t xml:space="preserve"> consultation paper. </w:t>
      </w:r>
    </w:p>
    <w:p w:rsidR="00B52125" w:rsidRDefault="00B52125">
      <w:pPr>
        <w:pStyle w:val="URExecSumparagraph"/>
        <w:ind w:left="720" w:hanging="720"/>
      </w:pPr>
      <w:r>
        <w:t xml:space="preserve">3. </w:t>
      </w:r>
      <w:r>
        <w:tab/>
        <w:t xml:space="preserve">The reasons for the proposed licence modifications are set out in chapter 3 of the consultation paper. </w:t>
      </w:r>
    </w:p>
    <w:p w:rsidR="00B52125" w:rsidRDefault="00B52125">
      <w:pPr>
        <w:pStyle w:val="URExecSumparagraph"/>
        <w:ind w:left="720" w:hanging="720"/>
      </w:pPr>
      <w:r>
        <w:t xml:space="preserve">4. </w:t>
      </w:r>
      <w:r>
        <w:tab/>
        <w:t xml:space="preserve">The effects of the proposed licence modifications are set out in chapter 3 of the consultation paper. </w:t>
      </w:r>
    </w:p>
    <w:p w:rsidR="00B52125" w:rsidRDefault="00B52125">
      <w:pPr>
        <w:pStyle w:val="URExecSumparagraph"/>
        <w:ind w:left="720" w:hanging="720"/>
      </w:pPr>
      <w:r>
        <w:t xml:space="preserve">5. </w:t>
      </w:r>
      <w:r>
        <w:tab/>
        <w:t>Representation with respect to the proposed modifications may be made on or before 5pm on</w:t>
      </w:r>
      <w:r w:rsidR="00A4730D">
        <w:t xml:space="preserve"> </w:t>
      </w:r>
      <w:r w:rsidR="00FF7F39">
        <w:t>5 April</w:t>
      </w:r>
      <w:r w:rsidR="00A4730D">
        <w:t xml:space="preserve"> 2021</w:t>
      </w:r>
      <w:r w:rsidR="009044DC">
        <w:t xml:space="preserve"> to</w:t>
      </w:r>
    </w:p>
    <w:p w:rsidR="00D40EE8" w:rsidRDefault="00D40EE8" w:rsidP="00D40EE8">
      <w:pPr>
        <w:pStyle w:val="URExecSumparagraph"/>
        <w:spacing w:line="240" w:lineRule="auto"/>
        <w:ind w:left="720"/>
      </w:pPr>
      <w:r>
        <w:t xml:space="preserve">Ruairi McCann </w:t>
      </w:r>
    </w:p>
    <w:p w:rsidR="00D40EE8" w:rsidRDefault="00D40EE8" w:rsidP="00D40EE8">
      <w:pPr>
        <w:pStyle w:val="URExecSumparagraph"/>
        <w:spacing w:line="240" w:lineRule="auto"/>
        <w:ind w:left="720"/>
      </w:pPr>
      <w:r>
        <w:t xml:space="preserve">Utility Regulator </w:t>
      </w:r>
    </w:p>
    <w:p w:rsidR="00D40EE8" w:rsidRDefault="00D40EE8" w:rsidP="00D40EE8">
      <w:pPr>
        <w:pStyle w:val="URExecSumparagraph"/>
        <w:spacing w:line="240" w:lineRule="auto"/>
        <w:ind w:left="720"/>
      </w:pPr>
      <w:r>
        <w:t xml:space="preserve">Queens House </w:t>
      </w:r>
    </w:p>
    <w:p w:rsidR="00D40EE8" w:rsidRDefault="00D40EE8" w:rsidP="00D40EE8">
      <w:pPr>
        <w:pStyle w:val="URExecSumparagraph"/>
        <w:spacing w:line="240" w:lineRule="auto"/>
        <w:ind w:left="720"/>
      </w:pPr>
      <w:r>
        <w:t xml:space="preserve">14 Queens Street </w:t>
      </w:r>
    </w:p>
    <w:p w:rsidR="00D40EE8" w:rsidRDefault="00D40EE8" w:rsidP="00D40EE8">
      <w:pPr>
        <w:pStyle w:val="URExecSumparagraph"/>
        <w:spacing w:line="240" w:lineRule="auto"/>
        <w:ind w:left="720"/>
      </w:pPr>
      <w:r>
        <w:lastRenderedPageBreak/>
        <w:t xml:space="preserve">Belfast </w:t>
      </w:r>
    </w:p>
    <w:p w:rsidR="00D40EE8" w:rsidRDefault="00D40EE8" w:rsidP="00D40EE8">
      <w:pPr>
        <w:pStyle w:val="URExecSumparagraph"/>
        <w:spacing w:line="240" w:lineRule="auto"/>
        <w:ind w:left="720"/>
      </w:pPr>
      <w:r>
        <w:t xml:space="preserve">BT1 6ED </w:t>
      </w:r>
    </w:p>
    <w:p w:rsidR="00D40EE8" w:rsidRDefault="00D40EE8" w:rsidP="004A34EE">
      <w:pPr>
        <w:pStyle w:val="URExecSumparagraph"/>
        <w:ind w:left="720"/>
        <w:rPr>
          <w:rStyle w:val="Hyperlink"/>
        </w:rPr>
      </w:pPr>
      <w:r>
        <w:t xml:space="preserve">Email: electricity_network_reporting@uregni.gov.uk with cc to </w:t>
      </w:r>
      <w:hyperlink r:id="rId26" w:history="1">
        <w:r w:rsidRPr="004C3020">
          <w:rPr>
            <w:rStyle w:val="Hyperlink"/>
          </w:rPr>
          <w:t>ruairi.mccann@uregni.gov.uk</w:t>
        </w:r>
      </w:hyperlink>
    </w:p>
    <w:p w:rsidR="00D40EE8" w:rsidRDefault="00D40EE8">
      <w:pPr>
        <w:pStyle w:val="URExecSumparagraph"/>
        <w:ind w:left="720" w:hanging="720"/>
      </w:pPr>
      <w:r>
        <w:t xml:space="preserve">6. </w:t>
      </w:r>
      <w:r w:rsidR="001F7938">
        <w:tab/>
      </w:r>
      <w:r>
        <w:t>The Authority has, pursuant to Article 14(4) of the Order, sent a copy of this notice to the Licensee, the Department for Economy and also to the General Consumer Council for Northern Ireland.</w:t>
      </w:r>
    </w:p>
    <w:p w:rsidR="00D40EE8" w:rsidRDefault="00D40EE8">
      <w:pPr>
        <w:pStyle w:val="URExecSumparagraph"/>
        <w:ind w:left="720" w:hanging="720"/>
      </w:pPr>
      <w:r>
        <w:t xml:space="preserve">7. </w:t>
      </w:r>
      <w:r w:rsidR="001F7938">
        <w:tab/>
      </w:r>
      <w:r>
        <w:t>A copy of this notice and the proposed modifications can be obtained in hard copy form from the Authority by contacting Ruairi McCann at the contact details above.</w:t>
      </w:r>
    </w:p>
    <w:p w:rsidR="00D40EE8" w:rsidRDefault="00D40EE8" w:rsidP="004A34EE">
      <w:pPr>
        <w:pStyle w:val="URExecSumparagraph"/>
        <w:ind w:left="720"/>
      </w:pPr>
      <w:r>
        <w:t xml:space="preserve">Dated this </w:t>
      </w:r>
    </w:p>
    <w:p w:rsidR="00A4730D" w:rsidRDefault="00A4730D" w:rsidP="004A34EE">
      <w:pPr>
        <w:pStyle w:val="URExecSumparagraph"/>
        <w:ind w:left="720"/>
      </w:pPr>
    </w:p>
    <w:p w:rsidR="00D40EE8" w:rsidRDefault="00D40EE8" w:rsidP="004A34EE">
      <w:pPr>
        <w:pStyle w:val="URExecSumparagraph"/>
        <w:ind w:left="720"/>
      </w:pPr>
      <w:r>
        <w:t>John French</w:t>
      </w:r>
    </w:p>
    <w:p w:rsidR="00D40EE8" w:rsidRPr="004A34EE" w:rsidRDefault="00D40EE8" w:rsidP="004A34EE">
      <w:pPr>
        <w:pStyle w:val="URExecSumparagraph"/>
        <w:ind w:left="720"/>
        <w:rPr>
          <w:b/>
          <w:color w:val="auto"/>
          <w:sz w:val="40"/>
          <w:szCs w:val="40"/>
        </w:rPr>
      </w:pPr>
      <w:r w:rsidRPr="004A34EE">
        <w:rPr>
          <w:b/>
        </w:rPr>
        <w:t>For and on behalf of the Northern Ireland Authority for Utility Regulation</w:t>
      </w:r>
    </w:p>
    <w:sectPr w:rsidR="00D40EE8" w:rsidRPr="004A34EE" w:rsidSect="00883B4B">
      <w:headerReference w:type="default" r:id="rId27"/>
      <w:pgSz w:w="11910" w:h="16840"/>
      <w:pgMar w:top="1701" w:right="1440" w:bottom="1134" w:left="1440" w:header="272" w:footer="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9C" w:rsidRDefault="0053019C">
      <w:r>
        <w:separator/>
      </w:r>
    </w:p>
  </w:endnote>
  <w:endnote w:type="continuationSeparator" w:id="0">
    <w:p w:rsidR="0053019C" w:rsidRDefault="005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2F35E598" wp14:editId="41B5D594">
              <wp:simplePos x="0" y="0"/>
              <wp:positionH relativeFrom="page">
                <wp:posOffset>7951</wp:posOffset>
              </wp:positionH>
              <wp:positionV relativeFrom="page">
                <wp:posOffset>10463917</wp:posOffset>
              </wp:positionV>
              <wp:extent cx="7547610" cy="143123"/>
              <wp:effectExtent l="0" t="0" r="0" b="9525"/>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7610" cy="143123"/>
                      </a:xfrm>
                      <a:prstGeom prst="rect">
                        <a:avLst/>
                      </a:prstGeom>
                      <a:solidFill>
                        <a:srgbClr val="A2C4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463B" id="Rectangle 1" o:spid="_x0000_s1026" style="position:absolute;margin-left:.65pt;margin-top:823.95pt;width:594.3pt;height:1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" fillcolor="#a2c42d" stroked="f">
              <v:path arrowok="t"/>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14:anchorId="77CF750A" wp14:editId="6CC9FE83">
              <wp:simplePos x="0" y="0"/>
              <wp:positionH relativeFrom="page">
                <wp:posOffset>3656965</wp:posOffset>
              </wp:positionH>
              <wp:positionV relativeFrom="page">
                <wp:posOffset>10357789</wp:posOffset>
              </wp:positionV>
              <wp:extent cx="240665" cy="189230"/>
              <wp:effectExtent l="0" t="0" r="698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6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1C0" w:rsidRDefault="00ED11C0"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104768">
                            <w:rPr>
                              <w:b/>
                              <w:noProof/>
                              <w:color w:val="231F20"/>
                              <w:sz w:val="20"/>
                              <w:shd w:val="clear" w:color="auto" w:fill="A2C42D"/>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750A" id="_x0000_t202" coordsize="21600,21600" o:spt="202" path="m,l,21600r21600,l21600,xe">
              <v:stroke joinstyle="miter"/>
              <v:path gradientshapeok="t" o:connecttype="rect"/>
            </v:shapetype>
            <v:shape id="Text Box 2" o:spid="_x0000_s1029" type="#_x0000_t202" style="position:absolute;margin-left:287.95pt;margin-top:815.55pt;width:18.95pt;height:1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" filled="f" stroked="f">
              <v:path arrowok="t"/>
              <v:textbox inset="0,0,0,0">
                <w:txbxContent>
                  <w:p w:rsidR="00ED11C0" w:rsidRDefault="00ED11C0"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104768">
                      <w:rPr>
                        <w:b/>
                        <w:noProof/>
                        <w:color w:val="231F20"/>
                        <w:sz w:val="20"/>
                        <w:shd w:val="clear" w:color="auto" w:fill="A2C42D"/>
                      </w:rPr>
                      <w:t>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9C" w:rsidRDefault="0053019C">
      <w:r>
        <w:separator/>
      </w:r>
    </w:p>
  </w:footnote>
  <w:footnote w:type="continuationSeparator" w:id="0">
    <w:p w:rsidR="0053019C" w:rsidRDefault="0053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BodyText"/>
      <w:spacing w:line="14" w:lineRule="auto"/>
      <w:rPr>
        <w:sz w:val="20"/>
      </w:rPr>
    </w:pPr>
    <w:r>
      <w:rPr>
        <w:noProof/>
        <w:sz w:val="20"/>
        <w:lang w:bidi="ar-SA"/>
      </w:rPr>
      <w:drawing>
        <wp:anchor distT="0" distB="0" distL="114300" distR="114300" simplePos="0" relativeHeight="251658240" behindDoc="0" locked="0" layoutInCell="1" allowOverlap="1" wp14:anchorId="7FB64C65" wp14:editId="0F9DAE56">
          <wp:simplePos x="0" y="0"/>
          <wp:positionH relativeFrom="page">
            <wp:posOffset>0</wp:posOffset>
          </wp:positionH>
          <wp:positionV relativeFrom="page">
            <wp:posOffset>0</wp:posOffset>
          </wp:positionV>
          <wp:extent cx="7549200" cy="777600"/>
          <wp:effectExtent l="0" t="0" r="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ublications-Header1.jpg"/>
                  <pic:cNvPicPr/>
                </pic:nvPicPr>
                <pic:blipFill>
                  <a:blip r:embed="rId1">
                    <a:extLst>
                      <a:ext uri="{28A0092B-C50C-407E-A947-70E740481C1C}">
                        <a14:useLocalDpi xmlns:a14="http://schemas.microsoft.com/office/drawing/2010/main" val="0"/>
                      </a:ext>
                    </a:extLst>
                  </a:blip>
                  <a:stretch>
                    <a:fillRect/>
                  </a:stretch>
                </pic:blipFill>
                <pic:spPr>
                  <a:xfrm>
                    <a:off x="0" y="0"/>
                    <a:ext cx="7549200" cy="77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C0" w:rsidRDefault="00ED11C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6BE"/>
    <w:multiLevelType w:val="hybridMultilevel"/>
    <w:tmpl w:val="628C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D77A0"/>
    <w:multiLevelType w:val="multilevel"/>
    <w:tmpl w:val="ED5ED45E"/>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6835026"/>
    <w:multiLevelType w:val="hybridMultilevel"/>
    <w:tmpl w:val="0DD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233FB"/>
    <w:multiLevelType w:val="hybridMultilevel"/>
    <w:tmpl w:val="CB0C4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62D83"/>
    <w:multiLevelType w:val="multilevel"/>
    <w:tmpl w:val="6F441444"/>
    <w:lvl w:ilvl="0">
      <w:start w:val="2"/>
      <w:numFmt w:val="decimal"/>
      <w:lvlText w:val="%1"/>
      <w:lvlJc w:val="left"/>
      <w:pPr>
        <w:ind w:left="360" w:hanging="360"/>
      </w:pPr>
      <w:rPr>
        <w:rFonts w:hint="default"/>
      </w:rPr>
    </w:lvl>
    <w:lvl w:ilvl="1">
      <w:start w:val="3"/>
      <w:numFmt w:val="decimal"/>
      <w:lvlText w:val="%1.%2"/>
      <w:lvlJc w:val="left"/>
      <w:pPr>
        <w:ind w:left="2771" w:hanging="360"/>
      </w:pPr>
      <w:rPr>
        <w:rFonts w:hint="default"/>
      </w:rPr>
    </w:lvl>
    <w:lvl w:ilvl="2">
      <w:start w:val="1"/>
      <w:numFmt w:val="decimal"/>
      <w:lvlText w:val="%1.%2.%3"/>
      <w:lvlJc w:val="left"/>
      <w:pPr>
        <w:ind w:left="5260" w:hanging="720"/>
      </w:pPr>
      <w:rPr>
        <w:rFonts w:hint="default"/>
      </w:rPr>
    </w:lvl>
    <w:lvl w:ilvl="3">
      <w:start w:val="1"/>
      <w:numFmt w:val="decimal"/>
      <w:lvlText w:val="%1.%2.%3.%4"/>
      <w:lvlJc w:val="left"/>
      <w:pPr>
        <w:ind w:left="7890" w:hanging="1080"/>
      </w:pPr>
      <w:rPr>
        <w:rFonts w:hint="default"/>
      </w:rPr>
    </w:lvl>
    <w:lvl w:ilvl="4">
      <w:start w:val="1"/>
      <w:numFmt w:val="decimal"/>
      <w:lvlText w:val="%1.%2.%3.%4.%5"/>
      <w:lvlJc w:val="left"/>
      <w:pPr>
        <w:ind w:left="10160" w:hanging="1080"/>
      </w:pPr>
      <w:rPr>
        <w:rFonts w:hint="default"/>
      </w:rPr>
    </w:lvl>
    <w:lvl w:ilvl="5">
      <w:start w:val="1"/>
      <w:numFmt w:val="decimal"/>
      <w:lvlText w:val="%1.%2.%3.%4.%5.%6"/>
      <w:lvlJc w:val="left"/>
      <w:pPr>
        <w:ind w:left="12790" w:hanging="1440"/>
      </w:pPr>
      <w:rPr>
        <w:rFonts w:hint="default"/>
      </w:rPr>
    </w:lvl>
    <w:lvl w:ilvl="6">
      <w:start w:val="1"/>
      <w:numFmt w:val="decimal"/>
      <w:lvlText w:val="%1.%2.%3.%4.%5.%6.%7"/>
      <w:lvlJc w:val="left"/>
      <w:pPr>
        <w:ind w:left="15060" w:hanging="1440"/>
      </w:pPr>
      <w:rPr>
        <w:rFonts w:hint="default"/>
      </w:rPr>
    </w:lvl>
    <w:lvl w:ilvl="7">
      <w:start w:val="1"/>
      <w:numFmt w:val="decimal"/>
      <w:lvlText w:val="%1.%2.%3.%4.%5.%6.%7.%8"/>
      <w:lvlJc w:val="left"/>
      <w:pPr>
        <w:ind w:left="17690" w:hanging="1800"/>
      </w:pPr>
      <w:rPr>
        <w:rFonts w:hint="default"/>
      </w:rPr>
    </w:lvl>
    <w:lvl w:ilvl="8">
      <w:start w:val="1"/>
      <w:numFmt w:val="decimal"/>
      <w:lvlText w:val="%1.%2.%3.%4.%5.%6.%7.%8.%9"/>
      <w:lvlJc w:val="left"/>
      <w:pPr>
        <w:ind w:left="19960" w:hanging="1800"/>
      </w:pPr>
      <w:rPr>
        <w:rFonts w:hint="default"/>
      </w:rPr>
    </w:lvl>
  </w:abstractNum>
  <w:abstractNum w:abstractNumId="5" w15:restartNumberingAfterBreak="0">
    <w:nsid w:val="2CE62E96"/>
    <w:multiLevelType w:val="hybridMultilevel"/>
    <w:tmpl w:val="5FB870C2"/>
    <w:lvl w:ilvl="0" w:tplc="4A1C84DE">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E0F8B"/>
    <w:multiLevelType w:val="multilevel"/>
    <w:tmpl w:val="A74CC276"/>
    <w:lvl w:ilvl="0">
      <w:start w:val="1"/>
      <w:numFmt w:val="decimal"/>
      <w:pStyle w:val="Heading1"/>
      <w:lvlText w:val="%1."/>
      <w:lvlJc w:val="left"/>
      <w:pPr>
        <w:ind w:left="851" w:hanging="851"/>
      </w:pPr>
      <w:rPr>
        <w:rFonts w:hint="default"/>
      </w:rPr>
    </w:lvl>
    <w:lvl w:ilvl="1">
      <w:start w:val="1"/>
      <w:numFmt w:val="none"/>
      <w:pStyle w:val="Heading2"/>
      <w:lvlText w:val="%2"/>
      <w:lvlJc w:val="left"/>
      <w:pPr>
        <w:tabs>
          <w:tab w:val="num" w:pos="851"/>
        </w:tabs>
        <w:ind w:left="0" w:firstLine="851"/>
      </w:pPr>
      <w:rPr>
        <w:rFonts w:hint="default"/>
      </w:rPr>
    </w:lvl>
    <w:lvl w:ilvl="2">
      <w:start w:val="1"/>
      <w:numFmt w:val="none"/>
      <w:lvlRestart w:val="1"/>
      <w:pStyle w:val="Heading3"/>
      <w:lvlText w:val="3.2"/>
      <w:lvlJc w:val="left"/>
      <w:pPr>
        <w:ind w:left="1135" w:hanging="851"/>
      </w:pPr>
      <w:rPr>
        <w:rFonts w:hint="default"/>
        <w:i w:val="0"/>
        <w:strike w:val="0"/>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Restart w:val="3"/>
      <w:pStyle w:val="Heading6"/>
      <w:lvlText w:val=""/>
      <w:lvlJc w:val="left"/>
      <w:pPr>
        <w:ind w:left="1559" w:hanging="708"/>
      </w:pPr>
      <w:rPr>
        <w:rFonts w:ascii="Symbol" w:hAnsi="Symbol" w:hint="default"/>
        <w:color w:val="auto"/>
      </w:rPr>
    </w:lvl>
    <w:lvl w:ilvl="6">
      <w:start w:val="1"/>
      <w:numFmt w:val="bullet"/>
      <w:pStyle w:val="Heading7"/>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0D0C0D"/>
    <w:multiLevelType w:val="multilevel"/>
    <w:tmpl w:val="F0FECFB8"/>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434A2584"/>
    <w:multiLevelType w:val="multilevel"/>
    <w:tmpl w:val="DAE885A6"/>
    <w:lvl w:ilvl="0">
      <w:start w:val="3"/>
      <w:numFmt w:val="decimal"/>
      <w:lvlText w:val="%1"/>
      <w:lvlJc w:val="left"/>
      <w:pPr>
        <w:ind w:left="360" w:hanging="360"/>
      </w:pPr>
      <w:rPr>
        <w:rFonts w:hint="default"/>
      </w:rPr>
    </w:lvl>
    <w:lvl w:ilvl="1">
      <w:start w:val="7"/>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0"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11" w15:restartNumberingAfterBreak="0">
    <w:nsid w:val="54B6047F"/>
    <w:multiLevelType w:val="hybridMultilevel"/>
    <w:tmpl w:val="55147702"/>
    <w:lvl w:ilvl="0" w:tplc="E2E27866">
      <w:numFmt w:val="bullet"/>
      <w:lvlText w:val="•"/>
      <w:lvlJc w:val="left"/>
      <w:pPr>
        <w:ind w:left="345" w:hanging="227"/>
      </w:pPr>
      <w:rPr>
        <w:rFonts w:ascii="Arial" w:eastAsia="Arial" w:hAnsi="Arial" w:cs="Arial" w:hint="default"/>
        <w:color w:val="FFFFFF"/>
        <w:spacing w:val="-1"/>
        <w:w w:val="100"/>
        <w:sz w:val="22"/>
        <w:szCs w:val="22"/>
        <w:lang w:val="en-GB" w:eastAsia="en-GB" w:bidi="en-GB"/>
      </w:rPr>
    </w:lvl>
    <w:lvl w:ilvl="1" w:tplc="5DF61574">
      <w:numFmt w:val="bullet"/>
      <w:lvlText w:val="•"/>
      <w:lvlJc w:val="left"/>
      <w:pPr>
        <w:ind w:left="1118" w:hanging="227"/>
      </w:pPr>
      <w:rPr>
        <w:rFonts w:hint="default"/>
        <w:lang w:val="en-GB" w:eastAsia="en-GB" w:bidi="en-GB"/>
      </w:rPr>
    </w:lvl>
    <w:lvl w:ilvl="2" w:tplc="69FC56C4">
      <w:numFmt w:val="bullet"/>
      <w:lvlText w:val="•"/>
      <w:lvlJc w:val="left"/>
      <w:pPr>
        <w:ind w:left="1897" w:hanging="227"/>
      </w:pPr>
      <w:rPr>
        <w:rFonts w:hint="default"/>
        <w:lang w:val="en-GB" w:eastAsia="en-GB" w:bidi="en-GB"/>
      </w:rPr>
    </w:lvl>
    <w:lvl w:ilvl="3" w:tplc="028AA5F8">
      <w:numFmt w:val="bullet"/>
      <w:lvlText w:val="•"/>
      <w:lvlJc w:val="left"/>
      <w:pPr>
        <w:ind w:left="2675" w:hanging="227"/>
      </w:pPr>
      <w:rPr>
        <w:rFonts w:hint="default"/>
        <w:lang w:val="en-GB" w:eastAsia="en-GB" w:bidi="en-GB"/>
      </w:rPr>
    </w:lvl>
    <w:lvl w:ilvl="4" w:tplc="C9B83100">
      <w:numFmt w:val="bullet"/>
      <w:lvlText w:val="•"/>
      <w:lvlJc w:val="left"/>
      <w:pPr>
        <w:ind w:left="3454" w:hanging="227"/>
      </w:pPr>
      <w:rPr>
        <w:rFonts w:hint="default"/>
        <w:lang w:val="en-GB" w:eastAsia="en-GB" w:bidi="en-GB"/>
      </w:rPr>
    </w:lvl>
    <w:lvl w:ilvl="5" w:tplc="3C9A702A">
      <w:numFmt w:val="bullet"/>
      <w:lvlText w:val="•"/>
      <w:lvlJc w:val="left"/>
      <w:pPr>
        <w:ind w:left="4232" w:hanging="227"/>
      </w:pPr>
      <w:rPr>
        <w:rFonts w:hint="default"/>
        <w:lang w:val="en-GB" w:eastAsia="en-GB" w:bidi="en-GB"/>
      </w:rPr>
    </w:lvl>
    <w:lvl w:ilvl="6" w:tplc="62140212">
      <w:numFmt w:val="bullet"/>
      <w:lvlText w:val="•"/>
      <w:lvlJc w:val="left"/>
      <w:pPr>
        <w:ind w:left="5011" w:hanging="227"/>
      </w:pPr>
      <w:rPr>
        <w:rFonts w:hint="default"/>
        <w:lang w:val="en-GB" w:eastAsia="en-GB" w:bidi="en-GB"/>
      </w:rPr>
    </w:lvl>
    <w:lvl w:ilvl="7" w:tplc="B8EA9DDA">
      <w:numFmt w:val="bullet"/>
      <w:lvlText w:val="•"/>
      <w:lvlJc w:val="left"/>
      <w:pPr>
        <w:ind w:left="5790" w:hanging="227"/>
      </w:pPr>
      <w:rPr>
        <w:rFonts w:hint="default"/>
        <w:lang w:val="en-GB" w:eastAsia="en-GB" w:bidi="en-GB"/>
      </w:rPr>
    </w:lvl>
    <w:lvl w:ilvl="8" w:tplc="298402C6">
      <w:numFmt w:val="bullet"/>
      <w:lvlText w:val="•"/>
      <w:lvlJc w:val="left"/>
      <w:pPr>
        <w:ind w:left="6568" w:hanging="227"/>
      </w:pPr>
      <w:rPr>
        <w:rFonts w:hint="default"/>
        <w:lang w:val="en-GB" w:eastAsia="en-GB" w:bidi="en-GB"/>
      </w:rPr>
    </w:lvl>
  </w:abstractNum>
  <w:abstractNum w:abstractNumId="12" w15:restartNumberingAfterBreak="0">
    <w:nsid w:val="5AEE1AA4"/>
    <w:multiLevelType w:val="multilevel"/>
    <w:tmpl w:val="6866A9DC"/>
    <w:lvl w:ilvl="0">
      <w:start w:val="3"/>
      <w:numFmt w:val="decimal"/>
      <w:lvlText w:val="%1"/>
      <w:lvlJc w:val="left"/>
      <w:pPr>
        <w:ind w:left="360" w:hanging="360"/>
      </w:pPr>
      <w:rPr>
        <w:rFonts w:hint="default"/>
        <w:color w:val="0000FF" w:themeColor="hyperlink"/>
        <w:u w:val="single"/>
      </w:rPr>
    </w:lvl>
    <w:lvl w:ilvl="1">
      <w:start w:val="1"/>
      <w:numFmt w:val="decimal"/>
      <w:lvlText w:val="%1.%2"/>
      <w:lvlJc w:val="left"/>
      <w:pPr>
        <w:ind w:left="1211" w:hanging="360"/>
      </w:pPr>
      <w:rPr>
        <w:rFonts w:hint="default"/>
        <w:color w:val="auto"/>
        <w:u w:val="none"/>
      </w:rPr>
    </w:lvl>
    <w:lvl w:ilvl="2">
      <w:start w:val="1"/>
      <w:numFmt w:val="decimal"/>
      <w:lvlText w:val="%1.%2.%3"/>
      <w:lvlJc w:val="left"/>
      <w:pPr>
        <w:ind w:left="2422" w:hanging="720"/>
      </w:pPr>
      <w:rPr>
        <w:rFonts w:hint="default"/>
        <w:color w:val="0000FF" w:themeColor="hyperlink"/>
        <w:u w:val="single"/>
      </w:rPr>
    </w:lvl>
    <w:lvl w:ilvl="3">
      <w:start w:val="1"/>
      <w:numFmt w:val="decimal"/>
      <w:lvlText w:val="%1.%2.%3.%4"/>
      <w:lvlJc w:val="left"/>
      <w:pPr>
        <w:ind w:left="3633" w:hanging="1080"/>
      </w:pPr>
      <w:rPr>
        <w:rFonts w:hint="default"/>
        <w:color w:val="0000FF" w:themeColor="hyperlink"/>
        <w:u w:val="single"/>
      </w:rPr>
    </w:lvl>
    <w:lvl w:ilvl="4">
      <w:start w:val="1"/>
      <w:numFmt w:val="decimal"/>
      <w:lvlText w:val="%1.%2.%3.%4.%5"/>
      <w:lvlJc w:val="left"/>
      <w:pPr>
        <w:ind w:left="4484" w:hanging="1080"/>
      </w:pPr>
      <w:rPr>
        <w:rFonts w:hint="default"/>
        <w:color w:val="0000FF" w:themeColor="hyperlink"/>
        <w:u w:val="single"/>
      </w:rPr>
    </w:lvl>
    <w:lvl w:ilvl="5">
      <w:start w:val="1"/>
      <w:numFmt w:val="decimal"/>
      <w:lvlText w:val="%1.%2.%3.%4.%5.%6"/>
      <w:lvlJc w:val="left"/>
      <w:pPr>
        <w:ind w:left="5695" w:hanging="1440"/>
      </w:pPr>
      <w:rPr>
        <w:rFonts w:hint="default"/>
        <w:color w:val="0000FF" w:themeColor="hyperlink"/>
        <w:u w:val="single"/>
      </w:rPr>
    </w:lvl>
    <w:lvl w:ilvl="6">
      <w:start w:val="1"/>
      <w:numFmt w:val="decimal"/>
      <w:lvlText w:val="%1.%2.%3.%4.%5.%6.%7"/>
      <w:lvlJc w:val="left"/>
      <w:pPr>
        <w:ind w:left="6546" w:hanging="1440"/>
      </w:pPr>
      <w:rPr>
        <w:rFonts w:hint="default"/>
        <w:color w:val="0000FF" w:themeColor="hyperlink"/>
        <w:u w:val="single"/>
      </w:rPr>
    </w:lvl>
    <w:lvl w:ilvl="7">
      <w:start w:val="1"/>
      <w:numFmt w:val="decimal"/>
      <w:lvlText w:val="%1.%2.%3.%4.%5.%6.%7.%8"/>
      <w:lvlJc w:val="left"/>
      <w:pPr>
        <w:ind w:left="7757" w:hanging="1800"/>
      </w:pPr>
      <w:rPr>
        <w:rFonts w:hint="default"/>
        <w:color w:val="0000FF" w:themeColor="hyperlink"/>
        <w:u w:val="single"/>
      </w:rPr>
    </w:lvl>
    <w:lvl w:ilvl="8">
      <w:start w:val="1"/>
      <w:numFmt w:val="decimal"/>
      <w:lvlText w:val="%1.%2.%3.%4.%5.%6.%7.%8.%9"/>
      <w:lvlJc w:val="left"/>
      <w:pPr>
        <w:ind w:left="8608" w:hanging="1800"/>
      </w:pPr>
      <w:rPr>
        <w:rFonts w:hint="default"/>
        <w:color w:val="0000FF" w:themeColor="hyperlink"/>
        <w:u w:val="single"/>
      </w:rPr>
    </w:lvl>
  </w:abstractNum>
  <w:abstractNum w:abstractNumId="13" w15:restartNumberingAfterBreak="0">
    <w:nsid w:val="6762604C"/>
    <w:multiLevelType w:val="hybridMultilevel"/>
    <w:tmpl w:val="0FC68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CA2437"/>
    <w:multiLevelType w:val="multilevel"/>
    <w:tmpl w:val="2EB2BB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B86DA5"/>
    <w:multiLevelType w:val="multilevel"/>
    <w:tmpl w:val="07C8FE00"/>
    <w:lvl w:ilvl="0">
      <w:start w:val="3"/>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num w:numId="1">
    <w:abstractNumId w:val="10"/>
  </w:num>
  <w:num w:numId="2">
    <w:abstractNumId w:val="11"/>
  </w:num>
  <w:num w:numId="3">
    <w:abstractNumId w:val="9"/>
  </w:num>
  <w:num w:numId="4">
    <w:abstractNumId w:val="6"/>
  </w:num>
  <w:num w:numId="5">
    <w:abstractNumId w:val="6"/>
  </w:num>
  <w:num w:numId="6">
    <w:abstractNumId w:val="5"/>
  </w:num>
  <w:num w:numId="7">
    <w:abstractNumId w:val="6"/>
    <w:lvlOverride w:ilvl="0">
      <w:lvl w:ilvl="0">
        <w:start w:val="1"/>
        <w:numFmt w:val="decimal"/>
        <w:pStyle w:val="Heading1"/>
        <w:lvlText w:val="%1."/>
        <w:lvlJc w:val="left"/>
        <w:pPr>
          <w:ind w:left="851" w:hanging="851"/>
        </w:pPr>
        <w:rPr>
          <w:rFonts w:hint="default"/>
        </w:rPr>
      </w:lvl>
    </w:lvlOverride>
    <w:lvlOverride w:ilvl="1">
      <w:lvl w:ilvl="1">
        <w:start w:val="1"/>
        <w:numFmt w:val="none"/>
        <w:pStyle w:val="Heading2"/>
        <w:lvlText w:val="%2"/>
        <w:lvlJc w:val="left"/>
        <w:pPr>
          <w:tabs>
            <w:tab w:val="num" w:pos="851"/>
          </w:tabs>
          <w:ind w:left="0" w:firstLine="851"/>
        </w:pPr>
        <w:rPr>
          <w:rFonts w:hint="default"/>
        </w:rPr>
      </w:lvl>
    </w:lvlOverride>
    <w:lvlOverride w:ilvl="2">
      <w:lvl w:ilvl="2">
        <w:start w:val="1"/>
        <w:numFmt w:val="decimal"/>
        <w:lvlRestart w:val="1"/>
        <w:pStyle w:val="Heading3"/>
        <w:lvlText w:val="%1.%3"/>
        <w:lvlJc w:val="left"/>
        <w:pPr>
          <w:ind w:left="851" w:hanging="851"/>
        </w:pPr>
        <w:rPr>
          <w:rFonts w:hint="default"/>
        </w:rPr>
      </w:lvl>
    </w:lvlOverride>
    <w:lvlOverride w:ilvl="3">
      <w:lvl w:ilvl="3">
        <w:start w:val="1"/>
        <w:numFmt w:val="lowerLetter"/>
        <w:pStyle w:val="Heading4"/>
        <w:lvlText w:val="%4)"/>
        <w:lvlJc w:val="left"/>
        <w:pPr>
          <w:ind w:left="1559" w:hanging="708"/>
        </w:pPr>
        <w:rPr>
          <w:rFonts w:hint="default"/>
        </w:rPr>
      </w:lvl>
    </w:lvlOverride>
    <w:lvlOverride w:ilvl="4">
      <w:lvl w:ilvl="4">
        <w:start w:val="1"/>
        <w:numFmt w:val="lowerRoman"/>
        <w:pStyle w:val="Heading5"/>
        <w:lvlText w:val="(%5)"/>
        <w:lvlJc w:val="left"/>
        <w:pPr>
          <w:ind w:left="2268" w:hanging="709"/>
        </w:pPr>
        <w:rPr>
          <w:rFonts w:hint="default"/>
        </w:rPr>
      </w:lvl>
    </w:lvlOverride>
    <w:lvlOverride w:ilvl="5">
      <w:lvl w:ilvl="5">
        <w:start w:val="1"/>
        <w:numFmt w:val="bullet"/>
        <w:lvlRestart w:val="3"/>
        <w:pStyle w:val="Heading6"/>
        <w:lvlText w:val=""/>
        <w:lvlJc w:val="left"/>
        <w:pPr>
          <w:ind w:left="1559" w:hanging="708"/>
        </w:pPr>
        <w:rPr>
          <w:rFonts w:ascii="Symbol" w:hAnsi="Symbol" w:hint="default"/>
          <w:color w:val="auto"/>
        </w:rPr>
      </w:lvl>
    </w:lvlOverride>
    <w:lvlOverride w:ilvl="6">
      <w:lvl w:ilvl="6">
        <w:start w:val="1"/>
        <w:numFmt w:val="bullet"/>
        <w:pStyle w:val="Heading7"/>
        <w:lvlText w:val=""/>
        <w:lvlJc w:val="left"/>
        <w:pPr>
          <w:ind w:left="2268" w:hanging="709"/>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
  </w:num>
  <w:num w:numId="9">
    <w:abstractNumId w:val="0"/>
  </w:num>
  <w:num w:numId="10">
    <w:abstractNumId w:val="3"/>
  </w:num>
  <w:num w:numId="11">
    <w:abstractNumId w:val="12"/>
  </w:num>
  <w:num w:numId="12">
    <w:abstractNumId w:val="1"/>
  </w:num>
  <w:num w:numId="13">
    <w:abstractNumId w:val="8"/>
  </w:num>
  <w:num w:numId="14">
    <w:abstractNumId w:val="6"/>
    <w:lvlOverride w:ilvl="0">
      <w:startOverride w:val="4"/>
    </w:lvlOverride>
  </w:num>
  <w:num w:numId="15">
    <w:abstractNumId w:val="7"/>
  </w:num>
  <w:num w:numId="16">
    <w:abstractNumId w:val="4"/>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EA"/>
    <w:rsid w:val="0000306C"/>
    <w:rsid w:val="00033865"/>
    <w:rsid w:val="00042A46"/>
    <w:rsid w:val="00051FCE"/>
    <w:rsid w:val="00052095"/>
    <w:rsid w:val="00056470"/>
    <w:rsid w:val="000571AD"/>
    <w:rsid w:val="000575D5"/>
    <w:rsid w:val="000600D1"/>
    <w:rsid w:val="0006121C"/>
    <w:rsid w:val="000650B7"/>
    <w:rsid w:val="000752C7"/>
    <w:rsid w:val="000808A1"/>
    <w:rsid w:val="00090009"/>
    <w:rsid w:val="000A0198"/>
    <w:rsid w:val="000A329C"/>
    <w:rsid w:val="000A4E65"/>
    <w:rsid w:val="000A587A"/>
    <w:rsid w:val="000B49BD"/>
    <w:rsid w:val="000B609A"/>
    <w:rsid w:val="000B7B9A"/>
    <w:rsid w:val="000C0E31"/>
    <w:rsid w:val="000D20C9"/>
    <w:rsid w:val="000D3D8E"/>
    <w:rsid w:val="000D542F"/>
    <w:rsid w:val="000E5EDC"/>
    <w:rsid w:val="000E6B80"/>
    <w:rsid w:val="000E7603"/>
    <w:rsid w:val="000F0C52"/>
    <w:rsid w:val="000F30EB"/>
    <w:rsid w:val="000F35F4"/>
    <w:rsid w:val="000F4B02"/>
    <w:rsid w:val="001014D3"/>
    <w:rsid w:val="00103053"/>
    <w:rsid w:val="00104768"/>
    <w:rsid w:val="0011474F"/>
    <w:rsid w:val="00114CF6"/>
    <w:rsid w:val="001223C7"/>
    <w:rsid w:val="00130701"/>
    <w:rsid w:val="0013468B"/>
    <w:rsid w:val="00144531"/>
    <w:rsid w:val="00145666"/>
    <w:rsid w:val="00151657"/>
    <w:rsid w:val="0015308D"/>
    <w:rsid w:val="00174B1B"/>
    <w:rsid w:val="00176A4C"/>
    <w:rsid w:val="00177DC5"/>
    <w:rsid w:val="00181E5F"/>
    <w:rsid w:val="001A028D"/>
    <w:rsid w:val="001B09AC"/>
    <w:rsid w:val="001C3786"/>
    <w:rsid w:val="001E5EC1"/>
    <w:rsid w:val="001F4F8C"/>
    <w:rsid w:val="001F624B"/>
    <w:rsid w:val="001F72D0"/>
    <w:rsid w:val="001F7938"/>
    <w:rsid w:val="00212EF6"/>
    <w:rsid w:val="00216226"/>
    <w:rsid w:val="00223E1E"/>
    <w:rsid w:val="002348B8"/>
    <w:rsid w:val="002352EA"/>
    <w:rsid w:val="00250426"/>
    <w:rsid w:val="00254F4A"/>
    <w:rsid w:val="00255747"/>
    <w:rsid w:val="00260459"/>
    <w:rsid w:val="0026171C"/>
    <w:rsid w:val="0027005D"/>
    <w:rsid w:val="00270635"/>
    <w:rsid w:val="00287F94"/>
    <w:rsid w:val="002903C0"/>
    <w:rsid w:val="00297BA8"/>
    <w:rsid w:val="002A02E7"/>
    <w:rsid w:val="002B2078"/>
    <w:rsid w:val="002B39D9"/>
    <w:rsid w:val="002C6D4B"/>
    <w:rsid w:val="002C772A"/>
    <w:rsid w:val="002D66FE"/>
    <w:rsid w:val="002D6A77"/>
    <w:rsid w:val="002F1633"/>
    <w:rsid w:val="002F3C51"/>
    <w:rsid w:val="002F76CF"/>
    <w:rsid w:val="00336F43"/>
    <w:rsid w:val="003439D9"/>
    <w:rsid w:val="00347B6C"/>
    <w:rsid w:val="003535F9"/>
    <w:rsid w:val="00360012"/>
    <w:rsid w:val="003652EA"/>
    <w:rsid w:val="003661DC"/>
    <w:rsid w:val="003764CB"/>
    <w:rsid w:val="00381813"/>
    <w:rsid w:val="00386F2B"/>
    <w:rsid w:val="00387BFA"/>
    <w:rsid w:val="003902F3"/>
    <w:rsid w:val="00393673"/>
    <w:rsid w:val="003A184F"/>
    <w:rsid w:val="003A6F32"/>
    <w:rsid w:val="003B63C0"/>
    <w:rsid w:val="003B7449"/>
    <w:rsid w:val="003C6993"/>
    <w:rsid w:val="003C6D58"/>
    <w:rsid w:val="003E1948"/>
    <w:rsid w:val="003E56F4"/>
    <w:rsid w:val="003F2EDE"/>
    <w:rsid w:val="003F7706"/>
    <w:rsid w:val="00404B3B"/>
    <w:rsid w:val="00415B13"/>
    <w:rsid w:val="004370CD"/>
    <w:rsid w:val="004432DE"/>
    <w:rsid w:val="00444B79"/>
    <w:rsid w:val="004551F6"/>
    <w:rsid w:val="00460E37"/>
    <w:rsid w:val="004673F8"/>
    <w:rsid w:val="00481F07"/>
    <w:rsid w:val="004841F4"/>
    <w:rsid w:val="00491BC6"/>
    <w:rsid w:val="00492AA1"/>
    <w:rsid w:val="00497C40"/>
    <w:rsid w:val="004A34EE"/>
    <w:rsid w:val="004B3598"/>
    <w:rsid w:val="004B57D5"/>
    <w:rsid w:val="004B7510"/>
    <w:rsid w:val="004C3020"/>
    <w:rsid w:val="004F5375"/>
    <w:rsid w:val="00506527"/>
    <w:rsid w:val="005105DE"/>
    <w:rsid w:val="005110E5"/>
    <w:rsid w:val="00513CF2"/>
    <w:rsid w:val="0053019C"/>
    <w:rsid w:val="0053216F"/>
    <w:rsid w:val="0053282D"/>
    <w:rsid w:val="00532BB4"/>
    <w:rsid w:val="00535ACD"/>
    <w:rsid w:val="00535EAE"/>
    <w:rsid w:val="005533FA"/>
    <w:rsid w:val="00553B1F"/>
    <w:rsid w:val="0058173D"/>
    <w:rsid w:val="00582072"/>
    <w:rsid w:val="005A0694"/>
    <w:rsid w:val="005A6650"/>
    <w:rsid w:val="005C341D"/>
    <w:rsid w:val="005C4F57"/>
    <w:rsid w:val="005D2FA0"/>
    <w:rsid w:val="005D4A70"/>
    <w:rsid w:val="005D4E93"/>
    <w:rsid w:val="005D6F51"/>
    <w:rsid w:val="005D7F22"/>
    <w:rsid w:val="005E185F"/>
    <w:rsid w:val="005E4B80"/>
    <w:rsid w:val="005F30DD"/>
    <w:rsid w:val="00603911"/>
    <w:rsid w:val="00606B59"/>
    <w:rsid w:val="00613DBA"/>
    <w:rsid w:val="00622667"/>
    <w:rsid w:val="00624B94"/>
    <w:rsid w:val="00635EAC"/>
    <w:rsid w:val="00637ED5"/>
    <w:rsid w:val="00642E3D"/>
    <w:rsid w:val="006521AE"/>
    <w:rsid w:val="006556A8"/>
    <w:rsid w:val="00657CD2"/>
    <w:rsid w:val="00661EB3"/>
    <w:rsid w:val="00671498"/>
    <w:rsid w:val="00685424"/>
    <w:rsid w:val="00691A6E"/>
    <w:rsid w:val="0069355B"/>
    <w:rsid w:val="00694F77"/>
    <w:rsid w:val="006A3513"/>
    <w:rsid w:val="006B02D5"/>
    <w:rsid w:val="006B1980"/>
    <w:rsid w:val="006C0864"/>
    <w:rsid w:val="006E04A4"/>
    <w:rsid w:val="006E326B"/>
    <w:rsid w:val="006F56FA"/>
    <w:rsid w:val="00700205"/>
    <w:rsid w:val="00713EA7"/>
    <w:rsid w:val="007328AD"/>
    <w:rsid w:val="0073291F"/>
    <w:rsid w:val="00734A8D"/>
    <w:rsid w:val="0075467C"/>
    <w:rsid w:val="007626AD"/>
    <w:rsid w:val="00764271"/>
    <w:rsid w:val="007877F4"/>
    <w:rsid w:val="007A0CB6"/>
    <w:rsid w:val="007A0E24"/>
    <w:rsid w:val="007A3340"/>
    <w:rsid w:val="007C0DBD"/>
    <w:rsid w:val="007C431A"/>
    <w:rsid w:val="007D14E8"/>
    <w:rsid w:val="007D35B7"/>
    <w:rsid w:val="007E229B"/>
    <w:rsid w:val="007E2FEE"/>
    <w:rsid w:val="007F2764"/>
    <w:rsid w:val="007F34E9"/>
    <w:rsid w:val="008102BB"/>
    <w:rsid w:val="00815CCA"/>
    <w:rsid w:val="008176E7"/>
    <w:rsid w:val="00843A96"/>
    <w:rsid w:val="00851FBD"/>
    <w:rsid w:val="008627BF"/>
    <w:rsid w:val="00871535"/>
    <w:rsid w:val="00874EE7"/>
    <w:rsid w:val="00883B4B"/>
    <w:rsid w:val="0088767E"/>
    <w:rsid w:val="00890795"/>
    <w:rsid w:val="00897266"/>
    <w:rsid w:val="008C3612"/>
    <w:rsid w:val="008C4CAD"/>
    <w:rsid w:val="008C7793"/>
    <w:rsid w:val="008D2DF9"/>
    <w:rsid w:val="008D5DC2"/>
    <w:rsid w:val="008D752E"/>
    <w:rsid w:val="008D75A2"/>
    <w:rsid w:val="008E0B2B"/>
    <w:rsid w:val="008E67BD"/>
    <w:rsid w:val="008F6C64"/>
    <w:rsid w:val="00903DA1"/>
    <w:rsid w:val="009044DC"/>
    <w:rsid w:val="00914E9D"/>
    <w:rsid w:val="009157FC"/>
    <w:rsid w:val="00922807"/>
    <w:rsid w:val="00935655"/>
    <w:rsid w:val="009437BA"/>
    <w:rsid w:val="00955718"/>
    <w:rsid w:val="009558AD"/>
    <w:rsid w:val="00956A12"/>
    <w:rsid w:val="00974DC1"/>
    <w:rsid w:val="0099344C"/>
    <w:rsid w:val="00995E5C"/>
    <w:rsid w:val="00996F3D"/>
    <w:rsid w:val="009A7A90"/>
    <w:rsid w:val="009B5032"/>
    <w:rsid w:val="009C486E"/>
    <w:rsid w:val="009D03B8"/>
    <w:rsid w:val="00A00B4B"/>
    <w:rsid w:val="00A02C2A"/>
    <w:rsid w:val="00A05339"/>
    <w:rsid w:val="00A07B92"/>
    <w:rsid w:val="00A103FF"/>
    <w:rsid w:val="00A228F4"/>
    <w:rsid w:val="00A24706"/>
    <w:rsid w:val="00A26C54"/>
    <w:rsid w:val="00A366F6"/>
    <w:rsid w:val="00A418D4"/>
    <w:rsid w:val="00A4730D"/>
    <w:rsid w:val="00A60E9C"/>
    <w:rsid w:val="00A63E15"/>
    <w:rsid w:val="00A66608"/>
    <w:rsid w:val="00A719B9"/>
    <w:rsid w:val="00A72ED9"/>
    <w:rsid w:val="00A77301"/>
    <w:rsid w:val="00A8358D"/>
    <w:rsid w:val="00A95EE1"/>
    <w:rsid w:val="00AB4C96"/>
    <w:rsid w:val="00AB4DDA"/>
    <w:rsid w:val="00AD1D6A"/>
    <w:rsid w:val="00AD21D9"/>
    <w:rsid w:val="00AD6740"/>
    <w:rsid w:val="00B0096E"/>
    <w:rsid w:val="00B11CCE"/>
    <w:rsid w:val="00B21EC9"/>
    <w:rsid w:val="00B251E5"/>
    <w:rsid w:val="00B40314"/>
    <w:rsid w:val="00B42C42"/>
    <w:rsid w:val="00B45B72"/>
    <w:rsid w:val="00B5157A"/>
    <w:rsid w:val="00B51D6E"/>
    <w:rsid w:val="00B5210F"/>
    <w:rsid w:val="00B52125"/>
    <w:rsid w:val="00B62A84"/>
    <w:rsid w:val="00B65A9F"/>
    <w:rsid w:val="00B74AD2"/>
    <w:rsid w:val="00BA6EC4"/>
    <w:rsid w:val="00BA773B"/>
    <w:rsid w:val="00BA78E4"/>
    <w:rsid w:val="00BE3FB8"/>
    <w:rsid w:val="00BE6182"/>
    <w:rsid w:val="00BF7118"/>
    <w:rsid w:val="00C02BEC"/>
    <w:rsid w:val="00C02E7A"/>
    <w:rsid w:val="00C210D2"/>
    <w:rsid w:val="00C255DC"/>
    <w:rsid w:val="00C30B73"/>
    <w:rsid w:val="00C30CD1"/>
    <w:rsid w:val="00C316C8"/>
    <w:rsid w:val="00C34512"/>
    <w:rsid w:val="00C41211"/>
    <w:rsid w:val="00C43CF9"/>
    <w:rsid w:val="00C44C86"/>
    <w:rsid w:val="00C55AA6"/>
    <w:rsid w:val="00C6694C"/>
    <w:rsid w:val="00C81162"/>
    <w:rsid w:val="00C845B1"/>
    <w:rsid w:val="00C97FF9"/>
    <w:rsid w:val="00CA533E"/>
    <w:rsid w:val="00CA687F"/>
    <w:rsid w:val="00CB6200"/>
    <w:rsid w:val="00CC7D70"/>
    <w:rsid w:val="00CD7866"/>
    <w:rsid w:val="00D05A89"/>
    <w:rsid w:val="00D11434"/>
    <w:rsid w:val="00D15509"/>
    <w:rsid w:val="00D20ED8"/>
    <w:rsid w:val="00D307E8"/>
    <w:rsid w:val="00D32060"/>
    <w:rsid w:val="00D40EE8"/>
    <w:rsid w:val="00D43447"/>
    <w:rsid w:val="00D43DFC"/>
    <w:rsid w:val="00D47B7A"/>
    <w:rsid w:val="00D504CF"/>
    <w:rsid w:val="00D61699"/>
    <w:rsid w:val="00D6480A"/>
    <w:rsid w:val="00D808AB"/>
    <w:rsid w:val="00D83CDE"/>
    <w:rsid w:val="00DB0004"/>
    <w:rsid w:val="00DB1F07"/>
    <w:rsid w:val="00DB2E80"/>
    <w:rsid w:val="00DB392A"/>
    <w:rsid w:val="00DB5369"/>
    <w:rsid w:val="00DC7A33"/>
    <w:rsid w:val="00DE16F7"/>
    <w:rsid w:val="00DE3D15"/>
    <w:rsid w:val="00E00081"/>
    <w:rsid w:val="00E015CB"/>
    <w:rsid w:val="00E07D06"/>
    <w:rsid w:val="00E111C8"/>
    <w:rsid w:val="00E44852"/>
    <w:rsid w:val="00E475AD"/>
    <w:rsid w:val="00E52221"/>
    <w:rsid w:val="00E60736"/>
    <w:rsid w:val="00E6214B"/>
    <w:rsid w:val="00E62713"/>
    <w:rsid w:val="00E67BD5"/>
    <w:rsid w:val="00E77D45"/>
    <w:rsid w:val="00E8756A"/>
    <w:rsid w:val="00E9214D"/>
    <w:rsid w:val="00E94A57"/>
    <w:rsid w:val="00EB134F"/>
    <w:rsid w:val="00EB6824"/>
    <w:rsid w:val="00EB7E20"/>
    <w:rsid w:val="00ED0BF0"/>
    <w:rsid w:val="00ED11C0"/>
    <w:rsid w:val="00ED6427"/>
    <w:rsid w:val="00EE66C1"/>
    <w:rsid w:val="00EE69F0"/>
    <w:rsid w:val="00EF3FC3"/>
    <w:rsid w:val="00F01236"/>
    <w:rsid w:val="00F046DF"/>
    <w:rsid w:val="00F15BF6"/>
    <w:rsid w:val="00F202DE"/>
    <w:rsid w:val="00F23A4C"/>
    <w:rsid w:val="00F27166"/>
    <w:rsid w:val="00F31236"/>
    <w:rsid w:val="00F432B3"/>
    <w:rsid w:val="00F54543"/>
    <w:rsid w:val="00F55CE6"/>
    <w:rsid w:val="00F56CA7"/>
    <w:rsid w:val="00F61CE3"/>
    <w:rsid w:val="00F64849"/>
    <w:rsid w:val="00F64BF3"/>
    <w:rsid w:val="00F72DD6"/>
    <w:rsid w:val="00F73B4B"/>
    <w:rsid w:val="00F80E29"/>
    <w:rsid w:val="00F81572"/>
    <w:rsid w:val="00F81FEB"/>
    <w:rsid w:val="00F90160"/>
    <w:rsid w:val="00F94167"/>
    <w:rsid w:val="00F94C0E"/>
    <w:rsid w:val="00F95B01"/>
    <w:rsid w:val="00FA25A2"/>
    <w:rsid w:val="00FA5443"/>
    <w:rsid w:val="00FA5D7E"/>
    <w:rsid w:val="00FB2955"/>
    <w:rsid w:val="00FC1D6C"/>
    <w:rsid w:val="00FC734B"/>
    <w:rsid w:val="00FD61DD"/>
    <w:rsid w:val="00FF48BA"/>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62D77F-23EA-4087-9CF3-4BC362D0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5BF6"/>
    <w:rPr>
      <w:rFonts w:ascii="Arial" w:eastAsia="Arial" w:hAnsi="Arial" w:cs="Arial"/>
      <w:lang w:val="en-GB" w:eastAsia="en-GB" w:bidi="en-GB"/>
    </w:rPr>
  </w:style>
  <w:style w:type="paragraph" w:styleId="Heading1">
    <w:name w:val="heading 1"/>
    <w:basedOn w:val="ListParagraph"/>
    <w:next w:val="Heading2"/>
    <w:link w:val="Heading1Char"/>
    <w:uiPriority w:val="1"/>
    <w:qFormat/>
    <w:rsid w:val="00F27166"/>
    <w:pPr>
      <w:numPr>
        <w:numId w:val="4"/>
      </w:numPr>
      <w:spacing w:before="0" w:after="300"/>
      <w:outlineLvl w:val="0"/>
    </w:pPr>
    <w:rPr>
      <w:b/>
      <w:sz w:val="40"/>
      <w:szCs w:val="40"/>
    </w:rPr>
  </w:style>
  <w:style w:type="paragraph" w:styleId="Heading2">
    <w:name w:val="heading 2"/>
    <w:next w:val="Heading3"/>
    <w:link w:val="Heading2Char"/>
    <w:uiPriority w:val="1"/>
    <w:qFormat/>
    <w:rsid w:val="00F27166"/>
    <w:pPr>
      <w:numPr>
        <w:ilvl w:val="1"/>
        <w:numId w:val="4"/>
      </w:numPr>
      <w:spacing w:after="320"/>
      <w:outlineLvl w:val="1"/>
    </w:pPr>
    <w:rPr>
      <w:rFonts w:ascii="Arial" w:eastAsia="Arial" w:hAnsi="Arial" w:cs="Arial"/>
      <w:b/>
      <w:sz w:val="28"/>
      <w:szCs w:val="28"/>
      <w:lang w:val="en-GB" w:eastAsia="en-GB" w:bidi="en-GB"/>
    </w:rPr>
  </w:style>
  <w:style w:type="paragraph" w:styleId="Heading3">
    <w:name w:val="heading 3"/>
    <w:link w:val="Heading3Char"/>
    <w:uiPriority w:val="9"/>
    <w:unhideWhenUsed/>
    <w:qFormat/>
    <w:rsid w:val="00F27166"/>
    <w:pPr>
      <w:numPr>
        <w:ilvl w:val="2"/>
        <w:numId w:val="4"/>
      </w:numPr>
      <w:spacing w:after="220" w:line="276" w:lineRule="auto"/>
      <w:outlineLvl w:val="2"/>
    </w:pPr>
    <w:rPr>
      <w:rFonts w:ascii="Arial" w:eastAsia="Arial" w:hAnsi="Arial" w:cs="Arial"/>
      <w:sz w:val="24"/>
      <w:szCs w:val="24"/>
      <w:lang w:val="en-GB" w:eastAsia="en-GB" w:bidi="en-GB"/>
    </w:rPr>
  </w:style>
  <w:style w:type="paragraph" w:styleId="Heading4">
    <w:name w:val="heading 4"/>
    <w:link w:val="Heading4Char"/>
    <w:uiPriority w:val="9"/>
    <w:unhideWhenUsed/>
    <w:qFormat/>
    <w:rsid w:val="00F27166"/>
    <w:pPr>
      <w:numPr>
        <w:ilvl w:val="3"/>
        <w:numId w:val="4"/>
      </w:numPr>
      <w:spacing w:after="220" w:line="276" w:lineRule="auto"/>
      <w:outlineLvl w:val="3"/>
    </w:pPr>
    <w:rPr>
      <w:rFonts w:ascii="Arial" w:eastAsia="Arial" w:hAnsi="Arial" w:cs="Arial"/>
      <w:sz w:val="24"/>
      <w:szCs w:val="24"/>
      <w:lang w:val="en-GB" w:eastAsia="en-GB" w:bidi="en-GB"/>
    </w:rPr>
  </w:style>
  <w:style w:type="paragraph" w:styleId="Heading5">
    <w:name w:val="heading 5"/>
    <w:basedOn w:val="ListParagraph"/>
    <w:link w:val="Heading5Char"/>
    <w:uiPriority w:val="9"/>
    <w:unhideWhenUsed/>
    <w:qFormat/>
    <w:rsid w:val="00F27166"/>
    <w:pPr>
      <w:numPr>
        <w:ilvl w:val="4"/>
        <w:numId w:val="4"/>
      </w:numPr>
      <w:spacing w:before="0" w:after="220" w:line="276" w:lineRule="auto"/>
      <w:outlineLvl w:val="4"/>
    </w:pPr>
    <w:rPr>
      <w:sz w:val="24"/>
      <w:szCs w:val="24"/>
    </w:rPr>
  </w:style>
  <w:style w:type="paragraph" w:styleId="Heading6">
    <w:name w:val="heading 6"/>
    <w:basedOn w:val="ListParagraph"/>
    <w:link w:val="Heading6Char"/>
    <w:uiPriority w:val="9"/>
    <w:unhideWhenUsed/>
    <w:qFormat/>
    <w:rsid w:val="00F27166"/>
    <w:pPr>
      <w:numPr>
        <w:ilvl w:val="5"/>
        <w:numId w:val="4"/>
      </w:numPr>
      <w:spacing w:before="0" w:after="220" w:line="276" w:lineRule="auto"/>
      <w:outlineLvl w:val="5"/>
    </w:pPr>
    <w:rPr>
      <w:sz w:val="24"/>
      <w:szCs w:val="24"/>
    </w:rPr>
  </w:style>
  <w:style w:type="paragraph" w:styleId="Heading7">
    <w:name w:val="heading 7"/>
    <w:basedOn w:val="Heading6"/>
    <w:link w:val="Heading7Char"/>
    <w:uiPriority w:val="9"/>
    <w:unhideWhenUsed/>
    <w:qFormat/>
    <w:rsid w:val="00415B13"/>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7"/>
      <w:ind w:left="41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rsid w:val="00D1550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next w:val="Normal"/>
    <w:autoRedefine/>
    <w:uiPriority w:val="39"/>
    <w:unhideWhenUsed/>
    <w:rsid w:val="001F72D0"/>
    <w:pPr>
      <w:tabs>
        <w:tab w:val="right" w:leader="dot" w:pos="9020"/>
      </w:tabs>
      <w:spacing w:before="240" w:after="120"/>
      <w:ind w:left="851"/>
    </w:pPr>
    <w:rPr>
      <w:rFonts w:ascii="Arial" w:eastAsia="Arial" w:hAnsi="Arial" w:cs="Arial"/>
      <w:b/>
      <w:sz w:val="28"/>
      <w:lang w:val="en-GB" w:eastAsia="en-GB" w:bidi="en-GB"/>
    </w:rPr>
  </w:style>
  <w:style w:type="paragraph" w:styleId="TOC2">
    <w:name w:val="toc 2"/>
    <w:next w:val="Normal"/>
    <w:autoRedefine/>
    <w:uiPriority w:val="39"/>
    <w:unhideWhenUsed/>
    <w:rsid w:val="000D542F"/>
    <w:pPr>
      <w:spacing w:after="60"/>
      <w:ind w:left="851"/>
    </w:pPr>
    <w:rPr>
      <w:rFonts w:ascii="Arial" w:eastAsia="Arial" w:hAnsi="Arial" w:cs="Arial"/>
      <w:sz w:val="24"/>
      <w:lang w:val="en-GB" w:eastAsia="en-GB" w:bidi="en-GB"/>
    </w:rPr>
  </w:style>
  <w:style w:type="character" w:styleId="Hyperlink">
    <w:name w:val="Hyperlink"/>
    <w:basedOn w:val="DefaultParagraphFont"/>
    <w:uiPriority w:val="99"/>
    <w:unhideWhenUsed/>
    <w:rsid w:val="00D15509"/>
    <w:rPr>
      <w:color w:val="0000FF" w:themeColor="hyperlink"/>
      <w:u w:val="single"/>
    </w:rPr>
  </w:style>
  <w:style w:type="paragraph" w:styleId="BalloonText">
    <w:name w:val="Balloon Text"/>
    <w:basedOn w:val="Normal"/>
    <w:link w:val="BalloonTextChar"/>
    <w:uiPriority w:val="99"/>
    <w:semiHidden/>
    <w:unhideWhenUs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rsid w:val="009B5032"/>
    <w:pPr>
      <w:spacing w:before="24" w:after="160" w:line="276" w:lineRule="auto"/>
    </w:pPr>
    <w:rPr>
      <w:rFonts w:ascii="Arial" w:eastAsia="Arial" w:hAnsi="Arial" w:cs="Arial"/>
      <w:b/>
      <w:bCs/>
      <w:color w:val="000000" w:themeColor="text1"/>
      <w:sz w:val="40"/>
      <w:szCs w:val="40"/>
      <w:lang w:val="en-GB" w:eastAsia="en-GB" w:bidi="en-GB"/>
    </w:rPr>
  </w:style>
  <w:style w:type="paragraph" w:customStyle="1" w:styleId="URAbstracttitle">
    <w:name w:val="UR Abstract title"/>
    <w:link w:val="URAbstracttitleChar"/>
    <w:uiPriority w:val="1"/>
    <w:qFormat/>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Heading1Char">
    <w:name w:val="Heading 1 Char"/>
    <w:basedOn w:val="DefaultParagraphFont"/>
    <w:link w:val="Heading1"/>
    <w:uiPriority w:val="1"/>
    <w:rsid w:val="00F27166"/>
    <w:rPr>
      <w:rFonts w:ascii="Arial" w:eastAsia="Arial" w:hAnsi="Arial" w:cs="Arial"/>
      <w:b/>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883B4B"/>
    <w:pPr>
      <w:spacing w:before="258" w:line="276" w:lineRule="auto"/>
    </w:pPr>
    <w:rPr>
      <w:rFonts w:ascii="Arial" w:eastAsia="Arial" w:hAnsi="Arial" w:cs="Arial"/>
      <w:b/>
      <w:color w:val="000000" w:themeColor="text1"/>
      <w:sz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ExecSumtitle">
    <w:name w:val="UR Exec Sum title"/>
    <w:link w:val="URExecSumtitleChar"/>
    <w:uiPriority w:val="1"/>
    <w:qFormat/>
    <w:rsid w:val="009B5032"/>
    <w:pPr>
      <w:spacing w:before="24" w:after="156" w:line="276" w:lineRule="auto"/>
    </w:pPr>
    <w:rPr>
      <w:rFonts w:ascii="Arial" w:eastAsia="Arial" w:hAnsi="Arial" w:cs="Arial"/>
      <w:b/>
      <w:bCs/>
      <w:color w:val="000000" w:themeColor="text1"/>
      <w:sz w:val="40"/>
      <w:szCs w:val="40"/>
      <w:lang w:val="en-GB" w:eastAsia="en-GB" w:bidi="en-GB"/>
    </w:rPr>
  </w:style>
  <w:style w:type="character" w:customStyle="1" w:styleId="URContentstitleChar">
    <w:name w:val="UR Contents title Char"/>
    <w:basedOn w:val="DefaultParagraphFont"/>
    <w:link w:val="URContentstitle"/>
    <w:uiPriority w:val="1"/>
    <w:rsid w:val="00883B4B"/>
    <w:rPr>
      <w:rFonts w:ascii="Arial" w:eastAsia="Arial" w:hAnsi="Arial" w:cs="Arial"/>
      <w:b/>
      <w:color w:val="000000" w:themeColor="text1"/>
      <w:sz w:val="40"/>
      <w:lang w:val="en-GB" w:eastAsia="en-GB" w:bidi="en-GB"/>
    </w:rPr>
  </w:style>
  <w:style w:type="paragraph" w:customStyle="1" w:styleId="URExecSumparagraph">
    <w:name w:val="UR Exec Sum paragraph"/>
    <w:link w:val="URExecSumparagraphChar"/>
    <w:uiPriority w:val="1"/>
    <w:qFormat/>
    <w:rsid w:val="005D7F22"/>
    <w:pPr>
      <w:spacing w:after="240" w:line="276" w:lineRule="auto"/>
    </w:pPr>
    <w:rPr>
      <w:rFonts w:ascii="Arial" w:eastAsia="Arial" w:hAnsi="Arial" w:cs="Arial"/>
      <w:color w:val="000000"/>
      <w:sz w:val="24"/>
      <w:szCs w:val="24"/>
      <w:shd w:val="clear" w:color="auto" w:fill="FFFFFF"/>
      <w:lang w:val="en-GB" w:eastAsia="en-GB" w:bidi="en-GB"/>
    </w:rPr>
  </w:style>
  <w:style w:type="character" w:customStyle="1" w:styleId="URExecSumtitleChar">
    <w:name w:val="UR Exec Sum title Char"/>
    <w:basedOn w:val="Heading1Char"/>
    <w:link w:val="URExecSumtitle"/>
    <w:uiPriority w:val="1"/>
    <w:rsid w:val="009B5032"/>
    <w:rPr>
      <w:rFonts w:ascii="Arial" w:eastAsia="Arial" w:hAnsi="Arial" w:cs="Arial"/>
      <w:b/>
      <w:color w:val="000000" w:themeColor="text1"/>
      <w:sz w:val="40"/>
      <w:szCs w:val="40"/>
      <w:lang w:val="en-GB" w:eastAsia="en-GB" w:bidi="en-GB"/>
    </w:rPr>
  </w:style>
  <w:style w:type="character" w:customStyle="1" w:styleId="Heading3Char">
    <w:name w:val="Heading 3 Char"/>
    <w:basedOn w:val="DefaultParagraphFont"/>
    <w:link w:val="Heading3"/>
    <w:uiPriority w:val="9"/>
    <w:rsid w:val="00F27166"/>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character" w:customStyle="1" w:styleId="URExecSumparagraphChar">
    <w:name w:val="UR Exec Sum paragraph Char"/>
    <w:basedOn w:val="BodyTextChar"/>
    <w:link w:val="URExecSumparagraph"/>
    <w:uiPriority w:val="1"/>
    <w:rsid w:val="005D7F22"/>
    <w:rPr>
      <w:rFonts w:ascii="Arial" w:eastAsia="Arial" w:hAnsi="Arial" w:cs="Arial"/>
      <w:color w:val="000000"/>
      <w:sz w:val="24"/>
      <w:szCs w:val="24"/>
      <w:lang w:val="en-GB" w:eastAsia="en-GB" w:bidi="en-GB"/>
    </w:rPr>
  </w:style>
  <w:style w:type="character" w:customStyle="1" w:styleId="Heading4Char">
    <w:name w:val="Heading 4 Char"/>
    <w:basedOn w:val="DefaultParagraphFont"/>
    <w:link w:val="Heading4"/>
    <w:uiPriority w:val="9"/>
    <w:rsid w:val="00F27166"/>
    <w:rPr>
      <w:rFonts w:ascii="Arial" w:eastAsia="Arial" w:hAnsi="Arial" w:cs="Arial"/>
      <w:sz w:val="24"/>
      <w:szCs w:val="24"/>
      <w:lang w:val="en-GB" w:eastAsia="en-GB" w:bidi="en-GB"/>
    </w:rPr>
  </w:style>
  <w:style w:type="character" w:customStyle="1" w:styleId="Heading5Char">
    <w:name w:val="Heading 5 Char"/>
    <w:basedOn w:val="DefaultParagraphFont"/>
    <w:link w:val="Heading5"/>
    <w:uiPriority w:val="9"/>
    <w:rsid w:val="00F27166"/>
    <w:rPr>
      <w:rFonts w:ascii="Arial" w:eastAsia="Arial" w:hAnsi="Arial" w:cs="Arial"/>
      <w:sz w:val="24"/>
      <w:szCs w:val="24"/>
      <w:lang w:val="en-GB" w:eastAsia="en-GB" w:bidi="en-GB"/>
    </w:rPr>
  </w:style>
  <w:style w:type="character" w:customStyle="1" w:styleId="Heading6Char">
    <w:name w:val="Heading 6 Char"/>
    <w:basedOn w:val="DefaultParagraphFont"/>
    <w:link w:val="Heading6"/>
    <w:uiPriority w:val="9"/>
    <w:rsid w:val="00F27166"/>
    <w:rPr>
      <w:rFonts w:ascii="Arial" w:eastAsia="Arial" w:hAnsi="Arial" w:cs="Arial"/>
      <w:sz w:val="24"/>
      <w:szCs w:val="24"/>
      <w:lang w:val="en-GB" w:eastAsia="en-GB" w:bidi="en-GB"/>
    </w:rPr>
  </w:style>
  <w:style w:type="paragraph" w:styleId="TOC3">
    <w:name w:val="toc 3"/>
    <w:basedOn w:val="Normal"/>
    <w:next w:val="Normal"/>
    <w:autoRedefine/>
    <w:uiPriority w:val="39"/>
    <w:unhideWhenUsed/>
    <w:rsid w:val="00883B4B"/>
    <w:pPr>
      <w:spacing w:after="100"/>
      <w:ind w:left="440"/>
    </w:pPr>
  </w:style>
  <w:style w:type="paragraph" w:customStyle="1" w:styleId="URExSumbullet">
    <w:name w:val="UR ExSum bullet"/>
    <w:link w:val="URExSumbulletChar"/>
    <w:uiPriority w:val="1"/>
    <w:qFormat/>
    <w:rsid w:val="005D7F22"/>
    <w:pPr>
      <w:numPr>
        <w:numId w:val="6"/>
      </w:numPr>
      <w:spacing w:after="240"/>
      <w:ind w:left="1134" w:hanging="850"/>
    </w:pPr>
    <w:rPr>
      <w:rFonts w:ascii="Arial" w:eastAsia="Arial" w:hAnsi="Arial" w:cs="Arial"/>
      <w:color w:val="000000"/>
      <w:sz w:val="24"/>
      <w:szCs w:val="24"/>
      <w:shd w:val="clear" w:color="auto" w:fill="FFFFFF"/>
      <w:lang w:val="en-GB" w:eastAsia="en-GB" w:bidi="en-GB"/>
    </w:rPr>
  </w:style>
  <w:style w:type="paragraph" w:styleId="Caption">
    <w:name w:val="caption"/>
    <w:basedOn w:val="Normal"/>
    <w:next w:val="Heading3"/>
    <w:uiPriority w:val="35"/>
    <w:unhideWhenUsed/>
    <w:qFormat/>
    <w:rsid w:val="00F01236"/>
    <w:pPr>
      <w:spacing w:before="160" w:after="240"/>
      <w:ind w:left="851"/>
    </w:pPr>
    <w:rPr>
      <w:b/>
      <w:iCs/>
      <w:sz w:val="24"/>
      <w:szCs w:val="24"/>
    </w:rPr>
  </w:style>
  <w:style w:type="character" w:customStyle="1" w:styleId="URExSumbulletChar">
    <w:name w:val="UR ExSum bullet Char"/>
    <w:basedOn w:val="DefaultParagraphFont"/>
    <w:link w:val="URExSumbullet"/>
    <w:uiPriority w:val="1"/>
    <w:rsid w:val="005D7F22"/>
    <w:rPr>
      <w:rFonts w:ascii="Arial" w:eastAsia="Arial" w:hAnsi="Arial" w:cs="Arial"/>
      <w:color w:val="000000"/>
      <w:sz w:val="24"/>
      <w:szCs w:val="24"/>
      <w:lang w:val="en-GB" w:eastAsia="en-GB" w:bidi="en-GB"/>
    </w:rPr>
  </w:style>
  <w:style w:type="character" w:customStyle="1" w:styleId="Heading7Char">
    <w:name w:val="Heading 7 Char"/>
    <w:basedOn w:val="DefaultParagraphFont"/>
    <w:link w:val="Heading7"/>
    <w:uiPriority w:val="9"/>
    <w:rsid w:val="00415B13"/>
    <w:rPr>
      <w:rFonts w:ascii="Arial" w:eastAsia="Arial" w:hAnsi="Arial" w:cs="Arial"/>
      <w:sz w:val="24"/>
      <w:szCs w:val="24"/>
      <w:lang w:val="en-GB" w:eastAsia="en-GB" w:bidi="en-GB"/>
    </w:rPr>
  </w:style>
  <w:style w:type="table" w:styleId="TableGrid">
    <w:name w:val="Table Grid"/>
    <w:basedOn w:val="TableNormal"/>
    <w:uiPriority w:val="39"/>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qFormat/>
    <w:rsid w:val="00415B13"/>
    <w:pPr>
      <w:spacing w:before="60" w:after="60"/>
    </w:pPr>
    <w:rPr>
      <w:rFonts w:ascii="Arial" w:eastAsia="Arial" w:hAnsi="Arial" w:cs="Arial"/>
      <w:szCs w:val="24"/>
      <w:lang w:val="en-GB" w:eastAsia="en-GB" w:bidi="en-GB"/>
    </w:rPr>
  </w:style>
  <w:style w:type="character" w:customStyle="1" w:styleId="URTabletextChar">
    <w:name w:val="UR Table text Char"/>
    <w:basedOn w:val="DefaultParagraphFont"/>
    <w:link w:val="URTabletext"/>
    <w:uiPriority w:val="1"/>
    <w:rsid w:val="00415B13"/>
    <w:rPr>
      <w:rFonts w:ascii="Arial" w:eastAsia="Arial" w:hAnsi="Arial" w:cs="Arial"/>
      <w:szCs w:val="24"/>
      <w:lang w:val="en-GB" w:eastAsia="en-GB" w:bidi="en-GB"/>
    </w:rPr>
  </w:style>
  <w:style w:type="character" w:styleId="CommentReference">
    <w:name w:val="annotation reference"/>
    <w:basedOn w:val="DefaultParagraphFont"/>
    <w:uiPriority w:val="99"/>
    <w:semiHidden/>
    <w:unhideWhenUsed/>
    <w:rsid w:val="0006121C"/>
    <w:rPr>
      <w:sz w:val="16"/>
      <w:szCs w:val="16"/>
    </w:rPr>
  </w:style>
  <w:style w:type="paragraph" w:styleId="CommentText">
    <w:name w:val="annotation text"/>
    <w:basedOn w:val="Normal"/>
    <w:link w:val="CommentTextChar"/>
    <w:uiPriority w:val="99"/>
    <w:semiHidden/>
    <w:unhideWhenUsed/>
    <w:rsid w:val="0006121C"/>
    <w:rPr>
      <w:sz w:val="20"/>
      <w:szCs w:val="20"/>
    </w:rPr>
  </w:style>
  <w:style w:type="character" w:customStyle="1" w:styleId="CommentTextChar">
    <w:name w:val="Comment Text Char"/>
    <w:basedOn w:val="DefaultParagraphFont"/>
    <w:link w:val="CommentText"/>
    <w:uiPriority w:val="99"/>
    <w:semiHidden/>
    <w:rsid w:val="0006121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6121C"/>
    <w:rPr>
      <w:b/>
      <w:bCs/>
    </w:rPr>
  </w:style>
  <w:style w:type="character" w:customStyle="1" w:styleId="CommentSubjectChar">
    <w:name w:val="Comment Subject Char"/>
    <w:basedOn w:val="CommentTextChar"/>
    <w:link w:val="CommentSubject"/>
    <w:uiPriority w:val="99"/>
    <w:semiHidden/>
    <w:rsid w:val="0006121C"/>
    <w:rPr>
      <w:rFonts w:ascii="Arial" w:eastAsia="Arial" w:hAnsi="Arial" w:cs="Arial"/>
      <w:b/>
      <w:bCs/>
      <w:sz w:val="20"/>
      <w:szCs w:val="20"/>
      <w:lang w:val="en-GB" w:eastAsia="en-GB" w:bidi="en-GB"/>
    </w:rPr>
  </w:style>
  <w:style w:type="paragraph" w:styleId="FootnoteText">
    <w:name w:val="footnote text"/>
    <w:basedOn w:val="Normal"/>
    <w:link w:val="FootnoteTextChar"/>
    <w:uiPriority w:val="99"/>
    <w:semiHidden/>
    <w:unhideWhenUsed/>
    <w:rsid w:val="001E5EC1"/>
    <w:rPr>
      <w:sz w:val="20"/>
      <w:szCs w:val="20"/>
    </w:rPr>
  </w:style>
  <w:style w:type="character" w:customStyle="1" w:styleId="FootnoteTextChar">
    <w:name w:val="Footnote Text Char"/>
    <w:basedOn w:val="DefaultParagraphFont"/>
    <w:link w:val="FootnoteText"/>
    <w:uiPriority w:val="99"/>
    <w:semiHidden/>
    <w:rsid w:val="001E5EC1"/>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1E5EC1"/>
    <w:rPr>
      <w:vertAlign w:val="superscript"/>
    </w:rPr>
  </w:style>
  <w:style w:type="character" w:customStyle="1" w:styleId="Heading2Char">
    <w:name w:val="Heading 2 Char"/>
    <w:basedOn w:val="DefaultParagraphFont"/>
    <w:link w:val="Heading2"/>
    <w:uiPriority w:val="1"/>
    <w:rsid w:val="00255747"/>
    <w:rPr>
      <w:rFonts w:ascii="Arial" w:eastAsia="Arial" w:hAnsi="Arial" w:cs="Arial"/>
      <w:b/>
      <w:sz w:val="28"/>
      <w:szCs w:val="28"/>
      <w:lang w:val="en-GB" w:eastAsia="en-GB" w:bidi="en-GB"/>
    </w:rPr>
  </w:style>
  <w:style w:type="paragraph" w:customStyle="1" w:styleId="Default">
    <w:name w:val="Default"/>
    <w:rsid w:val="000752C7"/>
    <w:pPr>
      <w:widowControl/>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A719B9"/>
    <w:rPr>
      <w:color w:val="800080" w:themeColor="followedHyperlink"/>
      <w:u w:val="single"/>
    </w:rPr>
  </w:style>
  <w:style w:type="table" w:customStyle="1" w:styleId="TableGrid1">
    <w:name w:val="Table Grid1"/>
    <w:basedOn w:val="TableNormal"/>
    <w:next w:val="TableGrid"/>
    <w:uiPriority w:val="39"/>
    <w:rsid w:val="00EE69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05DE"/>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2667"/>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40314"/>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48BA"/>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51657"/>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5EAE"/>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3142">
      <w:bodyDiv w:val="1"/>
      <w:marLeft w:val="0"/>
      <w:marRight w:val="0"/>
      <w:marTop w:val="0"/>
      <w:marBottom w:val="0"/>
      <w:divBdr>
        <w:top w:val="none" w:sz="0" w:space="0" w:color="auto"/>
        <w:left w:val="none" w:sz="0" w:space="0" w:color="auto"/>
        <w:bottom w:val="none" w:sz="0" w:space="0" w:color="auto"/>
        <w:right w:val="none" w:sz="0" w:space="0" w:color="auto"/>
      </w:divBdr>
    </w:div>
    <w:div w:id="428619008">
      <w:bodyDiv w:val="1"/>
      <w:marLeft w:val="0"/>
      <w:marRight w:val="0"/>
      <w:marTop w:val="0"/>
      <w:marBottom w:val="0"/>
      <w:divBdr>
        <w:top w:val="none" w:sz="0" w:space="0" w:color="auto"/>
        <w:left w:val="none" w:sz="0" w:space="0" w:color="auto"/>
        <w:bottom w:val="none" w:sz="0" w:space="0" w:color="auto"/>
        <w:right w:val="none" w:sz="0" w:space="0" w:color="auto"/>
      </w:divBdr>
    </w:div>
    <w:div w:id="487988803">
      <w:bodyDiv w:val="1"/>
      <w:marLeft w:val="0"/>
      <w:marRight w:val="0"/>
      <w:marTop w:val="0"/>
      <w:marBottom w:val="0"/>
      <w:divBdr>
        <w:top w:val="none" w:sz="0" w:space="0" w:color="auto"/>
        <w:left w:val="none" w:sz="0" w:space="0" w:color="auto"/>
        <w:bottom w:val="none" w:sz="0" w:space="0" w:color="auto"/>
        <w:right w:val="none" w:sz="0" w:space="0" w:color="auto"/>
      </w:divBdr>
    </w:div>
    <w:div w:id="861086816">
      <w:bodyDiv w:val="1"/>
      <w:marLeft w:val="0"/>
      <w:marRight w:val="0"/>
      <w:marTop w:val="0"/>
      <w:marBottom w:val="0"/>
      <w:divBdr>
        <w:top w:val="none" w:sz="0" w:space="0" w:color="auto"/>
        <w:left w:val="none" w:sz="0" w:space="0" w:color="auto"/>
        <w:bottom w:val="none" w:sz="0" w:space="0" w:color="auto"/>
        <w:right w:val="none" w:sz="0" w:space="0" w:color="auto"/>
      </w:divBdr>
    </w:div>
    <w:div w:id="867526341">
      <w:bodyDiv w:val="1"/>
      <w:marLeft w:val="0"/>
      <w:marRight w:val="0"/>
      <w:marTop w:val="0"/>
      <w:marBottom w:val="0"/>
      <w:divBdr>
        <w:top w:val="none" w:sz="0" w:space="0" w:color="auto"/>
        <w:left w:val="none" w:sz="0" w:space="0" w:color="auto"/>
        <w:bottom w:val="none" w:sz="0" w:space="0" w:color="auto"/>
        <w:right w:val="none" w:sz="0" w:space="0" w:color="auto"/>
      </w:divBdr>
    </w:div>
    <w:div w:id="968435798">
      <w:bodyDiv w:val="1"/>
      <w:marLeft w:val="0"/>
      <w:marRight w:val="0"/>
      <w:marTop w:val="0"/>
      <w:marBottom w:val="0"/>
      <w:divBdr>
        <w:top w:val="none" w:sz="0" w:space="0" w:color="auto"/>
        <w:left w:val="none" w:sz="0" w:space="0" w:color="auto"/>
        <w:bottom w:val="none" w:sz="0" w:space="0" w:color="auto"/>
        <w:right w:val="none" w:sz="0" w:space="0" w:color="auto"/>
      </w:divBdr>
    </w:div>
    <w:div w:id="985931319">
      <w:bodyDiv w:val="1"/>
      <w:marLeft w:val="0"/>
      <w:marRight w:val="0"/>
      <w:marTop w:val="0"/>
      <w:marBottom w:val="0"/>
      <w:divBdr>
        <w:top w:val="none" w:sz="0" w:space="0" w:color="auto"/>
        <w:left w:val="none" w:sz="0" w:space="0" w:color="auto"/>
        <w:bottom w:val="none" w:sz="0" w:space="0" w:color="auto"/>
        <w:right w:val="none" w:sz="0" w:space="0" w:color="auto"/>
      </w:divBdr>
    </w:div>
    <w:div w:id="1145732991">
      <w:bodyDiv w:val="1"/>
      <w:marLeft w:val="0"/>
      <w:marRight w:val="0"/>
      <w:marTop w:val="0"/>
      <w:marBottom w:val="0"/>
      <w:divBdr>
        <w:top w:val="none" w:sz="0" w:space="0" w:color="auto"/>
        <w:left w:val="none" w:sz="0" w:space="0" w:color="auto"/>
        <w:bottom w:val="none" w:sz="0" w:space="0" w:color="auto"/>
        <w:right w:val="none" w:sz="0" w:space="0" w:color="auto"/>
      </w:divBdr>
    </w:div>
    <w:div w:id="1227034781">
      <w:bodyDiv w:val="1"/>
      <w:marLeft w:val="0"/>
      <w:marRight w:val="0"/>
      <w:marTop w:val="0"/>
      <w:marBottom w:val="0"/>
      <w:divBdr>
        <w:top w:val="none" w:sz="0" w:space="0" w:color="auto"/>
        <w:left w:val="none" w:sz="0" w:space="0" w:color="auto"/>
        <w:bottom w:val="none" w:sz="0" w:space="0" w:color="auto"/>
        <w:right w:val="none" w:sz="0" w:space="0" w:color="auto"/>
      </w:divBdr>
    </w:div>
    <w:div w:id="1372074869">
      <w:bodyDiv w:val="1"/>
      <w:marLeft w:val="0"/>
      <w:marRight w:val="0"/>
      <w:marTop w:val="0"/>
      <w:marBottom w:val="0"/>
      <w:divBdr>
        <w:top w:val="none" w:sz="0" w:space="0" w:color="auto"/>
        <w:left w:val="none" w:sz="0" w:space="0" w:color="auto"/>
        <w:bottom w:val="none" w:sz="0" w:space="0" w:color="auto"/>
        <w:right w:val="none" w:sz="0" w:space="0" w:color="auto"/>
      </w:divBdr>
    </w:div>
    <w:div w:id="1375738829">
      <w:bodyDiv w:val="1"/>
      <w:marLeft w:val="0"/>
      <w:marRight w:val="0"/>
      <w:marTop w:val="0"/>
      <w:marBottom w:val="0"/>
      <w:divBdr>
        <w:top w:val="none" w:sz="0" w:space="0" w:color="auto"/>
        <w:left w:val="none" w:sz="0" w:space="0" w:color="auto"/>
        <w:bottom w:val="none" w:sz="0" w:space="0" w:color="auto"/>
        <w:right w:val="none" w:sz="0" w:space="0" w:color="auto"/>
      </w:divBdr>
    </w:div>
    <w:div w:id="1523394983">
      <w:bodyDiv w:val="1"/>
      <w:marLeft w:val="0"/>
      <w:marRight w:val="0"/>
      <w:marTop w:val="0"/>
      <w:marBottom w:val="0"/>
      <w:divBdr>
        <w:top w:val="none" w:sz="0" w:space="0" w:color="auto"/>
        <w:left w:val="none" w:sz="0" w:space="0" w:color="auto"/>
        <w:bottom w:val="none" w:sz="0" w:space="0" w:color="auto"/>
        <w:right w:val="none" w:sz="0" w:space="0" w:color="auto"/>
      </w:divBdr>
    </w:div>
    <w:div w:id="1568877889">
      <w:bodyDiv w:val="1"/>
      <w:marLeft w:val="0"/>
      <w:marRight w:val="0"/>
      <w:marTop w:val="0"/>
      <w:marBottom w:val="0"/>
      <w:divBdr>
        <w:top w:val="none" w:sz="0" w:space="0" w:color="auto"/>
        <w:left w:val="none" w:sz="0" w:space="0" w:color="auto"/>
        <w:bottom w:val="none" w:sz="0" w:space="0" w:color="auto"/>
        <w:right w:val="none" w:sz="0" w:space="0" w:color="auto"/>
      </w:divBdr>
    </w:div>
    <w:div w:id="1831483477">
      <w:bodyDiv w:val="1"/>
      <w:marLeft w:val="0"/>
      <w:marRight w:val="0"/>
      <w:marTop w:val="0"/>
      <w:marBottom w:val="0"/>
      <w:divBdr>
        <w:top w:val="none" w:sz="0" w:space="0" w:color="auto"/>
        <w:left w:val="none" w:sz="0" w:space="0" w:color="auto"/>
        <w:bottom w:val="none" w:sz="0" w:space="0" w:color="auto"/>
        <w:right w:val="none" w:sz="0" w:space="0" w:color="auto"/>
      </w:divBdr>
    </w:div>
    <w:div w:id="2003581899">
      <w:bodyDiv w:val="1"/>
      <w:marLeft w:val="0"/>
      <w:marRight w:val="0"/>
      <w:marTop w:val="0"/>
      <w:marBottom w:val="0"/>
      <w:divBdr>
        <w:top w:val="none" w:sz="0" w:space="0" w:color="auto"/>
        <w:left w:val="none" w:sz="0" w:space="0" w:color="auto"/>
        <w:bottom w:val="none" w:sz="0" w:space="0" w:color="auto"/>
        <w:right w:val="none" w:sz="0" w:space="0" w:color="auto"/>
      </w:divBdr>
    </w:div>
    <w:div w:id="2076273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Electricity_Networks_Responses@uregni.gov.uk" TargetMode="External"/><Relationship Id="rId26" Type="http://schemas.openxmlformats.org/officeDocument/2006/relationships/hyperlink" Target="mailto:ruairi.mccann@uregni.gov.uk" TargetMode="External"/><Relationship Id="rId3" Type="http://schemas.openxmlformats.org/officeDocument/2006/relationships/styles" Target="styles.xml"/><Relationship Id="rId21" Type="http://schemas.openxmlformats.org/officeDocument/2006/relationships/hyperlink" Target="https://www.legislation.gov.uk/nisi/1992/2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ruairi.mccann@uregni.gov.uk"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uregni.gov.uk/sites/uregni/files/media-files/2017-07-04%20RP6%20FD%20Main%20Report%20%28002%2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regni.gov.uk/sites/uregni/files/media-files/NIE%20Transmission%20Licence%20effective%2018%2001%202020.pdf"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s://www.uregni.gov.uk/sites/uregni/files/media-files/NIE%20Distribution%20Licence%20-%20effective%2018%2001%202020.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uairi.mccann@ureg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regni.gov.uk/sites/uregni/files/media-files/NIE%20Transmission%20Licence%20effective%2018%2001%202020.pdf" TargetMode="Externa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D5A5-DFE8-4AAC-A19F-F4F1C743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4785</Words>
  <Characters>27275</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Ruairi McCann</dc:creator>
  <cp:lastModifiedBy>McCann, Ruairi</cp:lastModifiedBy>
  <cp:revision>2</cp:revision>
  <dcterms:created xsi:type="dcterms:W3CDTF">2021-03-05T09:34:00Z</dcterms:created>
  <dcterms:modified xsi:type="dcterms:W3CDTF">2021-03-05T09:34:00Z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ies>
</file>