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DC" w:rsidRPr="00256952" w:rsidRDefault="00256952">
      <w:pPr>
        <w:rPr>
          <w:rFonts w:ascii="Arial" w:hAnsi="Arial" w:cs="Arial"/>
          <w:b/>
          <w:sz w:val="32"/>
          <w:szCs w:val="32"/>
        </w:rPr>
      </w:pPr>
      <w:r w:rsidRPr="00256952">
        <w:rPr>
          <w:rFonts w:ascii="Arial" w:hAnsi="Arial" w:cs="Arial"/>
          <w:b/>
          <w:sz w:val="32"/>
          <w:szCs w:val="32"/>
        </w:rPr>
        <w:t>Implementation of Energy Efficiency Directive and Fuel Switching Agreements</w:t>
      </w:r>
    </w:p>
    <w:p w:rsidR="00256952" w:rsidRPr="00256952" w:rsidRDefault="00256952" w:rsidP="00256952">
      <w:pPr>
        <w:pStyle w:val="NormalWeb"/>
        <w:rPr>
          <w:rFonts w:ascii="Arial" w:hAnsi="Arial" w:cs="Arial"/>
        </w:rPr>
      </w:pPr>
      <w:r w:rsidRPr="00256952">
        <w:rPr>
          <w:rFonts w:ascii="Arial" w:hAnsi="Arial" w:cs="Arial"/>
        </w:rPr>
        <w:t xml:space="preserve">Today, the Utility Regulator publishes a </w:t>
      </w:r>
      <w:hyperlink r:id="rId4" w:history="1">
        <w:r w:rsidRPr="00256952">
          <w:rPr>
            <w:rStyle w:val="Hyperlink"/>
            <w:rFonts w:ascii="Arial" w:hAnsi="Arial" w:cs="Arial"/>
          </w:rPr>
          <w:t>decision paper</w:t>
        </w:r>
      </w:hyperlink>
      <w:r w:rsidRPr="00256952">
        <w:rPr>
          <w:rFonts w:ascii="Arial" w:hAnsi="Arial" w:cs="Arial"/>
        </w:rPr>
        <w:t xml:space="preserve"> that sets out our final decisions in relation to both the Energy Efficiency Directive (EED) and fuel switching arrangements.  This joint decision paper is due to the linkages between the two issues.  It follows two separate consultations on EED and fuel switching. </w:t>
      </w:r>
    </w:p>
    <w:p w:rsidR="00256952" w:rsidRPr="00256952" w:rsidRDefault="00256952" w:rsidP="00256952">
      <w:pPr>
        <w:pStyle w:val="NormalWeb"/>
        <w:rPr>
          <w:rFonts w:ascii="Arial" w:hAnsi="Arial" w:cs="Arial"/>
        </w:rPr>
      </w:pPr>
      <w:r w:rsidRPr="00256952">
        <w:rPr>
          <w:rFonts w:ascii="Arial" w:hAnsi="Arial" w:cs="Arial"/>
        </w:rPr>
        <w:t xml:space="preserve">The EED establishes a common framework of measures for the promotion of energy efficiency within the EU.  On 23 January 2015, we </w:t>
      </w:r>
      <w:hyperlink r:id="rId5" w:tooltip="consulted" w:history="1">
        <w:r w:rsidRPr="00256952">
          <w:rPr>
            <w:rStyle w:val="Hyperlink"/>
            <w:rFonts w:ascii="Arial" w:hAnsi="Arial" w:cs="Arial"/>
          </w:rPr>
          <w:t>consulted</w:t>
        </w:r>
      </w:hyperlink>
      <w:r w:rsidRPr="00256952">
        <w:rPr>
          <w:rFonts w:ascii="Arial" w:hAnsi="Arial" w:cs="Arial"/>
        </w:rPr>
        <w:t xml:space="preserve"> on licence modifications to implement the following Articles of the EED;</w:t>
      </w:r>
    </w:p>
    <w:p w:rsidR="00256952" w:rsidRPr="00256952" w:rsidRDefault="00256952" w:rsidP="00256952">
      <w:pPr>
        <w:pStyle w:val="NormalWeb"/>
        <w:rPr>
          <w:rFonts w:ascii="Arial" w:hAnsi="Arial" w:cs="Arial"/>
        </w:rPr>
      </w:pPr>
      <w:r w:rsidRPr="00256952">
        <w:rPr>
          <w:rFonts w:ascii="Arial" w:hAnsi="Arial" w:cs="Arial"/>
        </w:rPr>
        <w:t xml:space="preserve">• Articles 9-11, which relates mainly to electricity and gas supply licences; and </w:t>
      </w:r>
      <w:r w:rsidRPr="00256952">
        <w:rPr>
          <w:rFonts w:ascii="Arial" w:hAnsi="Arial" w:cs="Arial"/>
        </w:rPr>
        <w:br/>
        <w:t xml:space="preserve">• Article 15, which relates mainly to network company licences and generation licences.  </w:t>
      </w:r>
    </w:p>
    <w:p w:rsidR="00256952" w:rsidRPr="00256952" w:rsidRDefault="00256952" w:rsidP="00256952">
      <w:pPr>
        <w:pStyle w:val="NormalWeb"/>
        <w:rPr>
          <w:rFonts w:ascii="Arial" w:hAnsi="Arial" w:cs="Arial"/>
        </w:rPr>
      </w:pPr>
      <w:r w:rsidRPr="00256952">
        <w:rPr>
          <w:rFonts w:ascii="Arial" w:hAnsi="Arial" w:cs="Arial"/>
        </w:rPr>
        <w:t xml:space="preserve">Directive implementation is not only a legal requirement but it will also deliver benefits in terms of improved energy efficiency, energy security and the environment.  </w:t>
      </w:r>
    </w:p>
    <w:p w:rsidR="00256952" w:rsidRPr="00256952" w:rsidRDefault="00256952" w:rsidP="00256952">
      <w:pPr>
        <w:pStyle w:val="NormalWeb"/>
        <w:rPr>
          <w:rFonts w:ascii="Arial" w:hAnsi="Arial" w:cs="Arial"/>
        </w:rPr>
      </w:pPr>
      <w:r w:rsidRPr="00256952">
        <w:rPr>
          <w:rFonts w:ascii="Arial" w:hAnsi="Arial" w:cs="Arial"/>
        </w:rPr>
        <w:t xml:space="preserve">On 16 February 2015, we </w:t>
      </w:r>
      <w:hyperlink r:id="rId6" w:tooltip="consulted" w:history="1">
        <w:r w:rsidRPr="00256952">
          <w:rPr>
            <w:rStyle w:val="Hyperlink"/>
            <w:rFonts w:ascii="Arial" w:hAnsi="Arial" w:cs="Arial"/>
          </w:rPr>
          <w:t>consulted</w:t>
        </w:r>
      </w:hyperlink>
      <w:r w:rsidRPr="00256952">
        <w:rPr>
          <w:rFonts w:ascii="Arial" w:hAnsi="Arial" w:cs="Arial"/>
        </w:rPr>
        <w:t xml:space="preserve"> on proposed modifications to Condition 29 of SONI’s licence for the purposes of introducing requirements in relation to fuel switching agreements.</w:t>
      </w:r>
    </w:p>
    <w:p w:rsidR="00256952" w:rsidRPr="00256952" w:rsidRDefault="00256952" w:rsidP="00256952">
      <w:pPr>
        <w:pStyle w:val="NormalWeb"/>
        <w:rPr>
          <w:rFonts w:ascii="Arial" w:hAnsi="Arial" w:cs="Arial"/>
        </w:rPr>
      </w:pPr>
      <w:r w:rsidRPr="00256952">
        <w:rPr>
          <w:rFonts w:ascii="Arial" w:hAnsi="Arial" w:cs="Arial"/>
        </w:rPr>
        <w:t xml:space="preserve">Fuel switching agreements are relevant to those service providers that have the capability of switching from one fuel type to another to provide for the recovery of costs that are not recoverable through other mechanisms.  The main benefit of the fuel switching modifications is enhanced security of supply for Northern Ireland in the event of primary fuel disruptions.  </w:t>
      </w:r>
    </w:p>
    <w:p w:rsidR="00256952" w:rsidRPr="00256952" w:rsidRDefault="00256952" w:rsidP="00256952">
      <w:pPr>
        <w:pStyle w:val="NormalWeb"/>
        <w:rPr>
          <w:rFonts w:ascii="Arial" w:hAnsi="Arial" w:cs="Arial"/>
        </w:rPr>
      </w:pPr>
      <w:r w:rsidRPr="00256952">
        <w:rPr>
          <w:rFonts w:ascii="Arial" w:hAnsi="Arial" w:cs="Arial"/>
        </w:rPr>
        <w:t>Copies of the documents can be made available in large print, Braille, audio cassette and a variety of relevant minority languages if required.</w:t>
      </w:r>
    </w:p>
    <w:p w:rsidR="00256952" w:rsidRPr="00256952" w:rsidRDefault="00256952">
      <w:pPr>
        <w:rPr>
          <w:rFonts w:ascii="Arial" w:hAnsi="Arial" w:cs="Arial"/>
        </w:rPr>
      </w:pPr>
    </w:p>
    <w:p w:rsidR="00256952" w:rsidRPr="00256952" w:rsidRDefault="00256952">
      <w:pPr>
        <w:rPr>
          <w:rFonts w:ascii="Arial" w:hAnsi="Arial" w:cs="Arial"/>
        </w:rPr>
      </w:pPr>
    </w:p>
    <w:sectPr w:rsidR="00256952" w:rsidRPr="00256952" w:rsidSect="002141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952"/>
    <w:rsid w:val="002141DC"/>
    <w:rsid w:val="002569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9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6952"/>
    <w:rPr>
      <w:color w:val="0000FF"/>
      <w:u w:val="single"/>
    </w:rPr>
  </w:style>
</w:styles>
</file>

<file path=word/webSettings.xml><?xml version="1.0" encoding="utf-8"?>
<w:webSettings xmlns:r="http://schemas.openxmlformats.org/officeDocument/2006/relationships" xmlns:w="http://schemas.openxmlformats.org/wordprocessingml/2006/main">
  <w:divs>
    <w:div w:id="1420176908">
      <w:bodyDiv w:val="1"/>
      <w:marLeft w:val="0"/>
      <w:marRight w:val="0"/>
      <w:marTop w:val="0"/>
      <w:marBottom w:val="0"/>
      <w:divBdr>
        <w:top w:val="none" w:sz="0" w:space="0" w:color="auto"/>
        <w:left w:val="none" w:sz="0" w:space="0" w:color="auto"/>
        <w:bottom w:val="none" w:sz="0" w:space="0" w:color="auto"/>
        <w:right w:val="none" w:sz="0" w:space="0" w:color="auto"/>
      </w:divBdr>
      <w:divsChild>
        <w:div w:id="1658070828">
          <w:marLeft w:val="0"/>
          <w:marRight w:val="0"/>
          <w:marTop w:val="0"/>
          <w:marBottom w:val="0"/>
          <w:divBdr>
            <w:top w:val="none" w:sz="0" w:space="0" w:color="auto"/>
            <w:left w:val="none" w:sz="0" w:space="0" w:color="auto"/>
            <w:bottom w:val="none" w:sz="0" w:space="0" w:color="auto"/>
            <w:right w:val="none" w:sz="0" w:space="0" w:color="auto"/>
          </w:divBdr>
          <w:divsChild>
            <w:div w:id="1672218460">
              <w:marLeft w:val="0"/>
              <w:marRight w:val="0"/>
              <w:marTop w:val="0"/>
              <w:marBottom w:val="0"/>
              <w:divBdr>
                <w:top w:val="none" w:sz="0" w:space="0" w:color="auto"/>
                <w:left w:val="none" w:sz="0" w:space="0" w:color="auto"/>
                <w:bottom w:val="none" w:sz="0" w:space="0" w:color="auto"/>
                <w:right w:val="none" w:sz="0" w:space="0" w:color="auto"/>
              </w:divBdr>
              <w:divsChild>
                <w:div w:id="566649542">
                  <w:marLeft w:val="0"/>
                  <w:marRight w:val="0"/>
                  <w:marTop w:val="0"/>
                  <w:marBottom w:val="0"/>
                  <w:divBdr>
                    <w:top w:val="none" w:sz="0" w:space="0" w:color="auto"/>
                    <w:left w:val="none" w:sz="0" w:space="0" w:color="auto"/>
                    <w:bottom w:val="none" w:sz="0" w:space="0" w:color="auto"/>
                    <w:right w:val="none" w:sz="0" w:space="0" w:color="auto"/>
                  </w:divBdr>
                  <w:divsChild>
                    <w:div w:id="1538934079">
                      <w:marLeft w:val="0"/>
                      <w:marRight w:val="0"/>
                      <w:marTop w:val="0"/>
                      <w:marBottom w:val="0"/>
                      <w:divBdr>
                        <w:top w:val="none" w:sz="0" w:space="0" w:color="auto"/>
                        <w:left w:val="none" w:sz="0" w:space="0" w:color="auto"/>
                        <w:bottom w:val="none" w:sz="0" w:space="0" w:color="auto"/>
                        <w:right w:val="none" w:sz="0" w:space="0" w:color="auto"/>
                      </w:divBdr>
                      <w:divsChild>
                        <w:div w:id="1633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egni.gov.uk/news/view/soni_licence_modifications_-_fuel_switching_agreements/" TargetMode="External"/><Relationship Id="rId5" Type="http://schemas.openxmlformats.org/officeDocument/2006/relationships/hyperlink" Target="http://www.uregni.gov.uk/uploads/publications/Energy_Efficiency_Directive_consultation_paper_final.pdf" TargetMode="External"/><Relationship Id="rId4" Type="http://schemas.openxmlformats.org/officeDocument/2006/relationships/hyperlink" Target="http://www.uregni.gov.uk/uploads/publications/151123_EED_Final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Company>IT Assist</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2016-04-18T08:38:00Z</dcterms:created>
  <dcterms:modified xsi:type="dcterms:W3CDTF">2016-04-18T08:39:00Z</dcterms:modified>
</cp:coreProperties>
</file>