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177" w:rsidRDefault="001A4584" w:rsidP="007C74BC">
      <w:pPr>
        <w:spacing w:after="0" w:line="276" w:lineRule="auto"/>
        <w:ind w:left="-5" w:right="307" w:hanging="10"/>
      </w:pPr>
      <w:r>
        <w:rPr>
          <w:b/>
        </w:rPr>
        <w:t xml:space="preserve">MINUTES OF A MEETING OF THE NORTHERN IRELAND AUTHORITY FOR UTILITY REGULATION (THE ‘AUTHORITY’) HELD ON </w:t>
      </w:r>
      <w:r w:rsidR="00294E3A">
        <w:rPr>
          <w:b/>
        </w:rPr>
        <w:t>FRIDAY</w:t>
      </w:r>
      <w:r>
        <w:rPr>
          <w:b/>
        </w:rPr>
        <w:t xml:space="preserve">, </w:t>
      </w:r>
      <w:r w:rsidR="00C640D7">
        <w:rPr>
          <w:b/>
        </w:rPr>
        <w:t>12 SEPTEMBER</w:t>
      </w:r>
      <w:r w:rsidR="00090E05">
        <w:rPr>
          <w:b/>
        </w:rPr>
        <w:t xml:space="preserve"> </w:t>
      </w:r>
      <w:r w:rsidR="00FF2CB8">
        <w:rPr>
          <w:b/>
        </w:rPr>
        <w:t>2014</w:t>
      </w:r>
      <w:r w:rsidR="0016692F">
        <w:rPr>
          <w:b/>
        </w:rPr>
        <w:t xml:space="preserve"> IN QUEENS HOUSE, BELFAST AT </w:t>
      </w:r>
      <w:r w:rsidR="00294E3A">
        <w:rPr>
          <w:b/>
        </w:rPr>
        <w:t>9 A</w:t>
      </w:r>
      <w:r>
        <w:rPr>
          <w:b/>
        </w:rPr>
        <w:t>M</w:t>
      </w:r>
    </w:p>
    <w:p w:rsidR="007F7177" w:rsidRDefault="007F7177" w:rsidP="002E3CC1">
      <w:pPr>
        <w:spacing w:after="0" w:line="276" w:lineRule="auto"/>
        <w:ind w:hanging="422"/>
      </w:pPr>
    </w:p>
    <w:p w:rsidR="007F7177" w:rsidRDefault="001A4584" w:rsidP="007C74BC">
      <w:pPr>
        <w:spacing w:after="0" w:line="276" w:lineRule="auto"/>
        <w:ind w:left="-5" w:right="-15" w:hanging="10"/>
      </w:pPr>
      <w:r>
        <w:rPr>
          <w:b/>
        </w:rPr>
        <w:t>Present:</w:t>
      </w:r>
    </w:p>
    <w:p w:rsidR="007F7177" w:rsidRDefault="001A4584" w:rsidP="006D721E">
      <w:pPr>
        <w:spacing w:line="240" w:lineRule="auto"/>
        <w:ind w:left="-15" w:firstLine="0"/>
      </w:pPr>
      <w:r>
        <w:t>Bill Emery (</w:t>
      </w:r>
      <w:r w:rsidR="006C4941">
        <w:t>C</w:t>
      </w:r>
      <w:r>
        <w:t>hairman), Richard Ro</w:t>
      </w:r>
      <w:r w:rsidR="00E478E2">
        <w:t xml:space="preserve">dgers, Bill Cargo, Teresa Perchard, </w:t>
      </w:r>
      <w:r w:rsidR="00FF2CB8">
        <w:t xml:space="preserve">David Strahan, </w:t>
      </w:r>
      <w:r w:rsidR="00CC24AC">
        <w:t>Jenny</w:t>
      </w:r>
      <w:r w:rsidR="00491108">
        <w:t> </w:t>
      </w:r>
      <w:r w:rsidR="00CC24AC">
        <w:t>Pyper</w:t>
      </w:r>
      <w:r>
        <w:t xml:space="preserve"> (</w:t>
      </w:r>
      <w:r w:rsidR="006C4941">
        <w:t>C</w:t>
      </w:r>
      <w:r>
        <w:t xml:space="preserve">hief </w:t>
      </w:r>
      <w:r w:rsidR="006C4941">
        <w:t>E</w:t>
      </w:r>
      <w:r>
        <w:t>xecutive)</w:t>
      </w:r>
    </w:p>
    <w:p w:rsidR="007F7177" w:rsidRDefault="007F7177" w:rsidP="007C74BC">
      <w:pPr>
        <w:spacing w:after="0" w:line="276" w:lineRule="auto"/>
        <w:ind w:left="70" w:firstLine="0"/>
      </w:pPr>
    </w:p>
    <w:p w:rsidR="007F7177" w:rsidRDefault="001A4584" w:rsidP="007C74BC">
      <w:pPr>
        <w:spacing w:after="0" w:line="276" w:lineRule="auto"/>
        <w:ind w:left="-5" w:right="-15" w:hanging="10"/>
        <w:rPr>
          <w:b/>
        </w:rPr>
      </w:pPr>
      <w:r>
        <w:rPr>
          <w:b/>
        </w:rPr>
        <w:t>In attendance:</w:t>
      </w:r>
    </w:p>
    <w:p w:rsidR="007F7177" w:rsidRDefault="00DA00AF" w:rsidP="00F21F74">
      <w:pPr>
        <w:spacing w:after="0" w:line="276" w:lineRule="auto"/>
        <w:ind w:left="-5" w:right="-15" w:hanging="10"/>
      </w:pPr>
      <w:r w:rsidRPr="00DA00AF">
        <w:t>SMT</w:t>
      </w:r>
      <w:r w:rsidR="001A227E">
        <w:t>:</w:t>
      </w:r>
      <w:r w:rsidR="00F21F74">
        <w:t xml:space="preserve"> </w:t>
      </w:r>
      <w:r w:rsidR="001A4584">
        <w:t>Donald Henry, Kevin</w:t>
      </w:r>
      <w:r w:rsidR="000961AF">
        <w:t> </w:t>
      </w:r>
      <w:r w:rsidR="001A4584">
        <w:t>Shiels, Tanya</w:t>
      </w:r>
      <w:r w:rsidR="000961AF">
        <w:t> </w:t>
      </w:r>
      <w:r w:rsidR="001A4584">
        <w:t xml:space="preserve">Hedley, </w:t>
      </w:r>
      <w:r w:rsidR="001940A5">
        <w:t xml:space="preserve">Brian McHugh, </w:t>
      </w:r>
      <w:r w:rsidR="001A4584">
        <w:t>Greg Irwin</w:t>
      </w:r>
    </w:p>
    <w:p w:rsidR="007F7177" w:rsidRDefault="007F7177" w:rsidP="006D721E">
      <w:pPr>
        <w:spacing w:after="0" w:line="240" w:lineRule="auto"/>
        <w:ind w:left="70" w:firstLine="0"/>
      </w:pPr>
    </w:p>
    <w:p w:rsidR="002D3AF8" w:rsidRDefault="002D3AF8" w:rsidP="00B669B6">
      <w:pPr>
        <w:spacing w:line="240" w:lineRule="auto"/>
        <w:ind w:left="0" w:firstLine="0"/>
      </w:pPr>
      <w:r>
        <w:t>Item 4 - Kenny Dane, Items 4</w:t>
      </w:r>
      <w:r w:rsidR="00705C7F">
        <w:t xml:space="preserve"> </w:t>
      </w:r>
      <w:r>
        <w:t xml:space="preserve">and 5 </w:t>
      </w:r>
      <w:r w:rsidR="002230D3">
        <w:t>–</w:t>
      </w:r>
      <w:r w:rsidR="00DA00AF">
        <w:t xml:space="preserve"> </w:t>
      </w:r>
      <w:r>
        <w:t>Colin Broomfield, Items 6 and 10 – Jody O’Boyle</w:t>
      </w:r>
    </w:p>
    <w:p w:rsidR="002A71E3" w:rsidRDefault="00E55D2E" w:rsidP="00B669B6">
      <w:pPr>
        <w:spacing w:line="240" w:lineRule="auto"/>
        <w:ind w:left="0" w:firstLine="0"/>
      </w:pPr>
      <w:r>
        <w:t xml:space="preserve">Item </w:t>
      </w:r>
      <w:r w:rsidR="002D3AF8">
        <w:t>7</w:t>
      </w:r>
      <w:r>
        <w:t xml:space="preserve"> </w:t>
      </w:r>
      <w:r w:rsidR="002D3AF8">
        <w:t>–</w:t>
      </w:r>
      <w:r>
        <w:t xml:space="preserve"> </w:t>
      </w:r>
      <w:r w:rsidR="002D3AF8">
        <w:t>Lesley Robinson</w:t>
      </w:r>
      <w:r w:rsidR="009623E8">
        <w:t xml:space="preserve">, </w:t>
      </w:r>
      <w:r w:rsidR="002D3AF8">
        <w:t>Item 8</w:t>
      </w:r>
      <w:r w:rsidR="00D17C72">
        <w:t xml:space="preserve"> – </w:t>
      </w:r>
      <w:bookmarkStart w:id="0" w:name="_GoBack"/>
      <w:bookmarkEnd w:id="0"/>
      <w:r w:rsidR="002D3AF8">
        <w:t>Paul Harland</w:t>
      </w:r>
    </w:p>
    <w:p w:rsidR="00CF4EB2" w:rsidRDefault="00CF4EB2" w:rsidP="00CF4EB2">
      <w:pPr>
        <w:spacing w:line="240" w:lineRule="auto"/>
        <w:ind w:left="0" w:firstLine="0"/>
      </w:pPr>
    </w:p>
    <w:p w:rsidR="007F7177" w:rsidRDefault="001A4584" w:rsidP="00F44F64">
      <w:pPr>
        <w:numPr>
          <w:ilvl w:val="0"/>
          <w:numId w:val="1"/>
        </w:numPr>
        <w:spacing w:after="0" w:line="240" w:lineRule="auto"/>
        <w:ind w:left="709" w:right="-15" w:hanging="709"/>
      </w:pPr>
      <w:r>
        <w:rPr>
          <w:b/>
        </w:rPr>
        <w:t>APOLOGIES FOR ABSENCE</w:t>
      </w:r>
    </w:p>
    <w:p w:rsidR="007F7177" w:rsidRDefault="00FF2CB8" w:rsidP="00F44F64">
      <w:pPr>
        <w:numPr>
          <w:ilvl w:val="1"/>
          <w:numId w:val="1"/>
        </w:numPr>
        <w:spacing w:after="0" w:line="240" w:lineRule="auto"/>
        <w:ind w:left="709" w:hanging="709"/>
      </w:pPr>
      <w:r>
        <w:t>None</w:t>
      </w:r>
      <w:r w:rsidR="00C77892">
        <w:t>.</w:t>
      </w:r>
    </w:p>
    <w:p w:rsidR="007F7177" w:rsidRDefault="007F7177" w:rsidP="005D6F7F">
      <w:pPr>
        <w:spacing w:after="0" w:line="240" w:lineRule="auto"/>
        <w:ind w:left="67" w:firstLine="0"/>
      </w:pPr>
    </w:p>
    <w:p w:rsidR="007F7177" w:rsidRDefault="001A4584" w:rsidP="00F44F64">
      <w:pPr>
        <w:numPr>
          <w:ilvl w:val="0"/>
          <w:numId w:val="1"/>
        </w:numPr>
        <w:spacing w:after="0" w:line="240" w:lineRule="auto"/>
        <w:ind w:left="709" w:right="-15" w:hanging="709"/>
      </w:pPr>
      <w:r>
        <w:rPr>
          <w:b/>
        </w:rPr>
        <w:t>FIRE DRILL</w:t>
      </w:r>
    </w:p>
    <w:p w:rsidR="007F7177" w:rsidRDefault="001A4584" w:rsidP="00F44F64">
      <w:pPr>
        <w:numPr>
          <w:ilvl w:val="1"/>
          <w:numId w:val="1"/>
        </w:numPr>
        <w:spacing w:after="0" w:line="240" w:lineRule="auto"/>
        <w:ind w:left="709" w:hanging="709"/>
      </w:pPr>
      <w:r>
        <w:t xml:space="preserve">The board members were informed of the evacuation procedures which apply at Queens House in the event of a fire. </w:t>
      </w:r>
    </w:p>
    <w:p w:rsidR="001B3DBF" w:rsidRPr="008607B6" w:rsidRDefault="001B3DBF" w:rsidP="008607B6">
      <w:pPr>
        <w:spacing w:after="0" w:line="240" w:lineRule="auto"/>
        <w:ind w:left="567" w:right="-15" w:firstLine="0"/>
      </w:pPr>
    </w:p>
    <w:p w:rsidR="007F7177" w:rsidRDefault="006D721E" w:rsidP="00F44F64">
      <w:pPr>
        <w:numPr>
          <w:ilvl w:val="0"/>
          <w:numId w:val="1"/>
        </w:numPr>
        <w:spacing w:after="0" w:line="240" w:lineRule="auto"/>
        <w:ind w:left="709" w:right="-15" w:hanging="709"/>
      </w:pPr>
      <w:r>
        <w:rPr>
          <w:b/>
        </w:rPr>
        <w:t>D</w:t>
      </w:r>
      <w:r w:rsidR="001A4584">
        <w:rPr>
          <w:b/>
        </w:rPr>
        <w:t>ECLARATIONS OF INTEREST</w:t>
      </w:r>
    </w:p>
    <w:p w:rsidR="001A227E" w:rsidRDefault="00C640D7" w:rsidP="00CC24AC">
      <w:pPr>
        <w:numPr>
          <w:ilvl w:val="1"/>
          <w:numId w:val="1"/>
        </w:numPr>
        <w:spacing w:after="0" w:line="240" w:lineRule="auto"/>
        <w:ind w:left="709" w:hanging="709"/>
      </w:pPr>
      <w:r>
        <w:t>None</w:t>
      </w:r>
      <w:r w:rsidR="00277A45">
        <w:t>.</w:t>
      </w:r>
    </w:p>
    <w:p w:rsidR="00E02EC1" w:rsidRDefault="00E02EC1" w:rsidP="00642212">
      <w:pPr>
        <w:ind w:left="0" w:firstLine="0"/>
      </w:pPr>
    </w:p>
    <w:p w:rsidR="00CA6E52" w:rsidRPr="00F44F64" w:rsidRDefault="00C640D7" w:rsidP="00CA6E52">
      <w:pPr>
        <w:numPr>
          <w:ilvl w:val="0"/>
          <w:numId w:val="1"/>
        </w:numPr>
        <w:spacing w:after="0" w:line="240" w:lineRule="auto"/>
        <w:ind w:left="709" w:right="-15" w:hanging="709"/>
      </w:pPr>
      <w:r>
        <w:rPr>
          <w:b/>
        </w:rPr>
        <w:t>GENERATING UNIT AGREEMENTS  (GUAs)</w:t>
      </w:r>
    </w:p>
    <w:p w:rsidR="00C323D7" w:rsidRDefault="00E226F5" w:rsidP="00CA6E52">
      <w:pPr>
        <w:numPr>
          <w:ilvl w:val="1"/>
          <w:numId w:val="1"/>
        </w:numPr>
        <w:spacing w:after="0" w:line="240" w:lineRule="auto"/>
        <w:ind w:left="709" w:hanging="709"/>
      </w:pPr>
      <w:r>
        <w:t>Jo Aston introduced this paper on GUAs</w:t>
      </w:r>
      <w:r w:rsidR="00C323D7">
        <w:t>.</w:t>
      </w:r>
      <w:r>
        <w:t xml:space="preserve">  She reminded the board of previous discussions on the issue and provided an update on developments since the last substantive board discussion in June.  Given the developments since June the board was asked to approve a recommendation to not cancel the GUAs at this time.</w:t>
      </w:r>
    </w:p>
    <w:p w:rsidR="00C323D7" w:rsidRDefault="00C323D7" w:rsidP="00C323D7">
      <w:pPr>
        <w:spacing w:after="0" w:line="240" w:lineRule="auto"/>
        <w:ind w:left="709" w:firstLine="0"/>
      </w:pPr>
    </w:p>
    <w:p w:rsidR="00E226F5" w:rsidRDefault="00330BA5" w:rsidP="00CA6E52">
      <w:pPr>
        <w:numPr>
          <w:ilvl w:val="1"/>
          <w:numId w:val="1"/>
        </w:numPr>
        <w:spacing w:after="0" w:line="240" w:lineRule="auto"/>
        <w:ind w:left="709" w:hanging="709"/>
      </w:pPr>
      <w:r>
        <w:t xml:space="preserve">Board members sought further information on Power NI’s Power Procurement Business (PPB) proposals in respect of the reduction in overhead costs and the gain share mechanism.  </w:t>
      </w:r>
      <w:r w:rsidR="00FE5A33">
        <w:t>There was also a general discussion around the future outlook for the GUAs.</w:t>
      </w:r>
    </w:p>
    <w:p w:rsidR="00E226F5" w:rsidRDefault="00E226F5" w:rsidP="00E226F5">
      <w:pPr>
        <w:pStyle w:val="ListParagraph"/>
      </w:pPr>
    </w:p>
    <w:p w:rsidR="00FE5A33" w:rsidRDefault="00FE5A33" w:rsidP="00CA6E52">
      <w:pPr>
        <w:numPr>
          <w:ilvl w:val="1"/>
          <w:numId w:val="1"/>
        </w:numPr>
        <w:spacing w:after="0" w:line="240" w:lineRule="auto"/>
        <w:ind w:left="709" w:hanging="709"/>
      </w:pPr>
      <w:r>
        <w:t>Following the discussion, the board agreed that it would not cancel the GUAs at this time and that they would be kept under review.  There was a brief discussion on the communications of the board’s decision.</w:t>
      </w:r>
    </w:p>
    <w:p w:rsidR="00FE5A33" w:rsidRDefault="00FE5A33" w:rsidP="00FE5A33">
      <w:pPr>
        <w:pStyle w:val="ListParagraph"/>
      </w:pPr>
    </w:p>
    <w:p w:rsidR="002F44C6" w:rsidRPr="002F44C6" w:rsidRDefault="00FE5A33" w:rsidP="000F78A3">
      <w:pPr>
        <w:numPr>
          <w:ilvl w:val="0"/>
          <w:numId w:val="1"/>
        </w:numPr>
        <w:spacing w:after="0" w:line="240" w:lineRule="auto"/>
        <w:ind w:left="709" w:right="-15" w:hanging="709"/>
      </w:pPr>
      <w:r>
        <w:rPr>
          <w:b/>
        </w:rPr>
        <w:t>SECURITY OF SUPPLY</w:t>
      </w:r>
    </w:p>
    <w:p w:rsidR="000F78A3" w:rsidRDefault="005F2336" w:rsidP="000F78A3">
      <w:pPr>
        <w:spacing w:after="0" w:line="240" w:lineRule="auto"/>
        <w:ind w:left="709" w:hanging="709"/>
      </w:pPr>
      <w:r>
        <w:t>5.1</w:t>
      </w:r>
      <w:r w:rsidR="000F78A3">
        <w:tab/>
      </w:r>
      <w:r w:rsidR="00FE5A33">
        <w:t xml:space="preserve">Jo Aston introduced this paper which sought the board’s approval of a recommendation to support </w:t>
      </w:r>
      <w:r w:rsidR="00F52F84">
        <w:t>the</w:t>
      </w:r>
      <w:r w:rsidR="00FE5A33">
        <w:t xml:space="preserve"> proposal by the System Operator for Northern Ireland (SONI)</w:t>
      </w:r>
      <w:r>
        <w:t xml:space="preserve"> </w:t>
      </w:r>
      <w:r w:rsidR="00FE5A33">
        <w:t>to alleviate security of supply risks from 2016.</w:t>
      </w:r>
      <w:r>
        <w:t xml:space="preserve"> </w:t>
      </w:r>
    </w:p>
    <w:p w:rsidR="005F2336" w:rsidRDefault="005F2336" w:rsidP="000F78A3">
      <w:pPr>
        <w:spacing w:after="0" w:line="240" w:lineRule="auto"/>
        <w:ind w:left="709" w:hanging="709"/>
      </w:pPr>
    </w:p>
    <w:p w:rsidR="00FE5A33" w:rsidRDefault="005F2336" w:rsidP="000F78A3">
      <w:pPr>
        <w:spacing w:after="0" w:line="240" w:lineRule="auto"/>
        <w:ind w:left="709" w:hanging="709"/>
      </w:pPr>
      <w:r>
        <w:lastRenderedPageBreak/>
        <w:t>5.2</w:t>
      </w:r>
      <w:r w:rsidR="000F78A3">
        <w:tab/>
      </w:r>
      <w:r w:rsidR="006805FE">
        <w:t xml:space="preserve">A significant discussion ensued around clarifying the costs of the proposal, understanding the security of supply risks and the impact on consumer bills of supporting the SONI proposal.  </w:t>
      </w:r>
    </w:p>
    <w:p w:rsidR="006805FE" w:rsidRDefault="006805FE" w:rsidP="000F78A3">
      <w:pPr>
        <w:spacing w:after="0" w:line="240" w:lineRule="auto"/>
        <w:ind w:left="709" w:hanging="709"/>
      </w:pPr>
    </w:p>
    <w:p w:rsidR="006805FE" w:rsidRDefault="006805FE" w:rsidP="000F78A3">
      <w:pPr>
        <w:spacing w:after="0" w:line="240" w:lineRule="auto"/>
        <w:ind w:left="709" w:hanging="709"/>
      </w:pPr>
      <w:r>
        <w:t>5.3</w:t>
      </w:r>
      <w:r>
        <w:tab/>
        <w:t xml:space="preserve">Board members clarified the scope of the proposal and what was being delivered for the costs incurred.  There was a discussion </w:t>
      </w:r>
      <w:r w:rsidR="002D3AF8">
        <w:t>of</w:t>
      </w:r>
      <w:r>
        <w:t xml:space="preserve"> the risk </w:t>
      </w:r>
      <w:r w:rsidR="004D3401">
        <w:t>around costs and the utilisation of</w:t>
      </w:r>
      <w:r>
        <w:t xml:space="preserve"> the additional capacity margin.  The process for assessing the costs of the proposal was raised.  Issues associated with the time period under which there was a contractual obligation to provide the additional capacity margin, and the impact on the overall market, were also discussed.</w:t>
      </w:r>
    </w:p>
    <w:p w:rsidR="006805FE" w:rsidRDefault="006805FE" w:rsidP="000F78A3">
      <w:pPr>
        <w:spacing w:after="0" w:line="240" w:lineRule="auto"/>
        <w:ind w:left="709" w:hanging="709"/>
      </w:pPr>
    </w:p>
    <w:p w:rsidR="00CC7C0A" w:rsidRDefault="006805FE" w:rsidP="000F78A3">
      <w:pPr>
        <w:spacing w:after="0" w:line="240" w:lineRule="auto"/>
        <w:ind w:left="709" w:hanging="709"/>
      </w:pPr>
      <w:r>
        <w:t>5.4</w:t>
      </w:r>
      <w:r>
        <w:tab/>
        <w:t xml:space="preserve">A broader discussion on security of supply risks also took place.  This focused on the ongoing impact of the </w:t>
      </w:r>
      <w:r w:rsidR="00CC7C0A">
        <w:t xml:space="preserve">reduced capacity from the </w:t>
      </w:r>
      <w:r>
        <w:t>Moyle Interconnect</w:t>
      </w:r>
      <w:r w:rsidR="00CC7C0A">
        <w:t xml:space="preserve">or and delays in the construction of the second north-south electricity interconnector.  Board members were briefed on plans to restore the Moyle Interconnector to full capacity and the impact on consumer bills.  </w:t>
      </w:r>
    </w:p>
    <w:p w:rsidR="00CC7C0A" w:rsidRDefault="00CC7C0A" w:rsidP="000F78A3">
      <w:pPr>
        <w:spacing w:after="0" w:line="240" w:lineRule="auto"/>
        <w:ind w:left="709" w:hanging="709"/>
      </w:pPr>
    </w:p>
    <w:p w:rsidR="006805FE" w:rsidRDefault="00CC7C0A" w:rsidP="000F78A3">
      <w:pPr>
        <w:spacing w:after="0" w:line="240" w:lineRule="auto"/>
        <w:ind w:left="709" w:hanging="709"/>
      </w:pPr>
      <w:r>
        <w:t>5.5</w:t>
      </w:r>
      <w:r>
        <w:tab/>
        <w:t xml:space="preserve">The board reflected on the need to </w:t>
      </w:r>
      <w:r w:rsidR="00AE6130">
        <w:t>balance</w:t>
      </w:r>
      <w:r>
        <w:t xml:space="preserve"> security of supply risks </w:t>
      </w:r>
      <w:r w:rsidR="00AE6130">
        <w:t>with</w:t>
      </w:r>
      <w:r>
        <w:t xml:space="preserve"> the likely impact on consumer bills.  </w:t>
      </w:r>
      <w:r w:rsidR="00AE6130">
        <w:t>The</w:t>
      </w:r>
      <w:r>
        <w:t xml:space="preserve"> need to consider</w:t>
      </w:r>
      <w:r w:rsidR="00AE6130">
        <w:t xml:space="preserve"> both</w:t>
      </w:r>
      <w:r>
        <w:t xml:space="preserve"> direct (higher consumer bills) and indirect costs (</w:t>
      </w:r>
      <w:r w:rsidR="00AE6130">
        <w:t>the potential</w:t>
      </w:r>
      <w:r>
        <w:t xml:space="preserve"> loss of investor confidence in Northern Ireland) of any power outages </w:t>
      </w:r>
      <w:r w:rsidR="00AE6130">
        <w:t xml:space="preserve">was emphasised.  It was agreed that addressing security of supply risks at least cost was fundamental to the Authority’s role. </w:t>
      </w:r>
    </w:p>
    <w:p w:rsidR="006805FE" w:rsidRDefault="006805FE" w:rsidP="000F78A3">
      <w:pPr>
        <w:spacing w:after="0" w:line="240" w:lineRule="auto"/>
        <w:ind w:left="709" w:hanging="709"/>
      </w:pPr>
    </w:p>
    <w:p w:rsidR="00AE6130" w:rsidRDefault="00AE6130" w:rsidP="00491108">
      <w:pPr>
        <w:spacing w:after="0" w:line="240" w:lineRule="auto"/>
        <w:ind w:left="709" w:hanging="709"/>
      </w:pPr>
      <w:r>
        <w:t>5.6</w:t>
      </w:r>
      <w:r>
        <w:tab/>
        <w:t>Finally, board members clarified issues in respect of the process for advancing arrangements to secure additional generation margin and an update to SONI’s</w:t>
      </w:r>
      <w:r w:rsidR="00F52F84">
        <w:t xml:space="preserve"> </w:t>
      </w:r>
      <w:r>
        <w:t xml:space="preserve">Generation Adequacy Statement.  </w:t>
      </w:r>
    </w:p>
    <w:p w:rsidR="00AE6130" w:rsidRDefault="00AE6130" w:rsidP="000F78A3">
      <w:pPr>
        <w:spacing w:after="0" w:line="240" w:lineRule="auto"/>
        <w:ind w:left="709" w:hanging="709"/>
      </w:pPr>
    </w:p>
    <w:p w:rsidR="007F7C26" w:rsidRDefault="00AE6130" w:rsidP="00F52F84">
      <w:pPr>
        <w:spacing w:after="0" w:line="240" w:lineRule="auto"/>
        <w:ind w:left="709" w:hanging="709"/>
      </w:pPr>
      <w:r>
        <w:t>5.7</w:t>
      </w:r>
      <w:r>
        <w:tab/>
        <w:t xml:space="preserve">The board </w:t>
      </w:r>
      <w:r w:rsidR="00F52F84">
        <w:t xml:space="preserve">approved the recommendation, subject to agreement with the Department of Enterprise, Trade and Investment, to </w:t>
      </w:r>
      <w:r>
        <w:t xml:space="preserve">support </w:t>
      </w:r>
      <w:r w:rsidR="00F52F84">
        <w:t xml:space="preserve">the </w:t>
      </w:r>
      <w:r>
        <w:t>proposal by SONI</w:t>
      </w:r>
      <w:r w:rsidR="004E16A0">
        <w:t xml:space="preserve"> to </w:t>
      </w:r>
      <w:r w:rsidR="00F52F84">
        <w:t>alleviate security of supply risk</w:t>
      </w:r>
      <w:r w:rsidR="00F748C0">
        <w:t>s</w:t>
      </w:r>
      <w:r w:rsidR="00F52F84">
        <w:t xml:space="preserve"> from 2016. </w:t>
      </w:r>
    </w:p>
    <w:p w:rsidR="00C34ED6" w:rsidRDefault="00C34ED6" w:rsidP="00C34ED6">
      <w:pPr>
        <w:pStyle w:val="ListParagraph"/>
        <w:spacing w:after="0" w:line="240" w:lineRule="auto"/>
        <w:ind w:left="0" w:firstLine="0"/>
      </w:pPr>
    </w:p>
    <w:p w:rsidR="00CA6E52" w:rsidRPr="00535BC6" w:rsidRDefault="00CA6E52" w:rsidP="00CA6E52">
      <w:pPr>
        <w:spacing w:after="0" w:line="240" w:lineRule="auto"/>
        <w:ind w:left="709" w:right="-15" w:hanging="709"/>
        <w:rPr>
          <w:b/>
        </w:rPr>
      </w:pPr>
      <w:r>
        <w:rPr>
          <w:b/>
        </w:rPr>
        <w:t>6.</w:t>
      </w:r>
      <w:r>
        <w:rPr>
          <w:b/>
        </w:rPr>
        <w:tab/>
      </w:r>
      <w:r w:rsidR="00F52F84">
        <w:rPr>
          <w:b/>
        </w:rPr>
        <w:t>NI CLUSTER CAPITAL EXPENDITURE REQUEST</w:t>
      </w:r>
      <w:r w:rsidR="002F44C6">
        <w:rPr>
          <w:b/>
        </w:rPr>
        <w:t xml:space="preserve"> </w:t>
      </w:r>
    </w:p>
    <w:p w:rsidR="00D84E77" w:rsidRDefault="00F52F84" w:rsidP="00CA6E52">
      <w:pPr>
        <w:pStyle w:val="ListParagraph"/>
        <w:numPr>
          <w:ilvl w:val="1"/>
          <w:numId w:val="11"/>
        </w:numPr>
        <w:spacing w:after="0" w:line="240" w:lineRule="auto"/>
        <w:ind w:left="709" w:hanging="709"/>
      </w:pPr>
      <w:r>
        <w:t xml:space="preserve">Jody O’Boyle provided the background briefing on </w:t>
      </w:r>
      <w:r w:rsidR="00F64B6E">
        <w:t>this</w:t>
      </w:r>
      <w:r>
        <w:t xml:space="preserve"> request </w:t>
      </w:r>
      <w:r w:rsidR="00670069">
        <w:t xml:space="preserve">for the board’s approval of </w:t>
      </w:r>
      <w:r>
        <w:t>construction capital expenditure</w:t>
      </w:r>
      <w:r w:rsidR="00D84E77">
        <w:t>.</w:t>
      </w:r>
    </w:p>
    <w:p w:rsidR="00D84E77" w:rsidRDefault="00D84E77" w:rsidP="00D84E77">
      <w:pPr>
        <w:pStyle w:val="ListParagraph"/>
        <w:spacing w:after="0" w:line="240" w:lineRule="auto"/>
        <w:ind w:left="709" w:firstLine="0"/>
      </w:pPr>
    </w:p>
    <w:p w:rsidR="00A81D3A" w:rsidRDefault="00F52F84" w:rsidP="00290BBE">
      <w:pPr>
        <w:pStyle w:val="ListParagraph"/>
        <w:numPr>
          <w:ilvl w:val="1"/>
          <w:numId w:val="11"/>
        </w:numPr>
        <w:spacing w:after="0" w:line="240" w:lineRule="auto"/>
        <w:ind w:left="709" w:hanging="709"/>
      </w:pPr>
      <w:r>
        <w:t xml:space="preserve">The board discussion focused on three </w:t>
      </w:r>
      <w:r w:rsidR="00F64B6E">
        <w:t xml:space="preserve">issues: (1) the process for advancing the development of the clusters, (2) the cost benefits to customers and (3) </w:t>
      </w:r>
      <w:r w:rsidR="00CF602D">
        <w:t xml:space="preserve">the mechanism for charging for the construction costs and, specifically, the allocation of development costs to the regulatory asset base.  </w:t>
      </w:r>
    </w:p>
    <w:p w:rsidR="00A81D3A" w:rsidRDefault="00A81D3A" w:rsidP="00A81D3A">
      <w:pPr>
        <w:pStyle w:val="ListParagraph"/>
      </w:pPr>
    </w:p>
    <w:p w:rsidR="00290BBE" w:rsidRDefault="00D472AD" w:rsidP="00290BBE">
      <w:pPr>
        <w:pStyle w:val="ListParagraph"/>
        <w:numPr>
          <w:ilvl w:val="1"/>
          <w:numId w:val="11"/>
        </w:numPr>
        <w:spacing w:after="0" w:line="240" w:lineRule="auto"/>
        <w:ind w:left="709" w:hanging="709"/>
      </w:pPr>
      <w:r>
        <w:t xml:space="preserve">The Board </w:t>
      </w:r>
      <w:r w:rsidR="00670069">
        <w:t>approved the construction capital expenditure as outlined</w:t>
      </w:r>
      <w:r w:rsidR="00A22CD2">
        <w:t>.</w:t>
      </w:r>
      <w:r w:rsidR="00670069">
        <w:t xml:space="preserve">  </w:t>
      </w:r>
      <w:r w:rsidR="00F63B10">
        <w:t>The Board also</w:t>
      </w:r>
      <w:r w:rsidR="00670069">
        <w:t xml:space="preserve"> agreed </w:t>
      </w:r>
      <w:r w:rsidR="00F63B10">
        <w:t>an amendment to the scheme of delegation to clarify that board approval for similar expenditure requests would only be required where the impact on the RAB is over the delegated limit.</w:t>
      </w:r>
    </w:p>
    <w:p w:rsidR="00290BBE" w:rsidRDefault="00290BBE" w:rsidP="00290BBE">
      <w:pPr>
        <w:pStyle w:val="ListParagraph"/>
      </w:pPr>
    </w:p>
    <w:p w:rsidR="00670069" w:rsidRDefault="00670069" w:rsidP="00290BBE">
      <w:pPr>
        <w:pStyle w:val="ListParagraph"/>
      </w:pPr>
    </w:p>
    <w:p w:rsidR="004D3401" w:rsidRDefault="004D3401" w:rsidP="00290BBE">
      <w:pPr>
        <w:pStyle w:val="ListParagraph"/>
      </w:pPr>
    </w:p>
    <w:p w:rsidR="007F7177" w:rsidRPr="006D721E" w:rsidRDefault="008607B6" w:rsidP="00F44F64">
      <w:pPr>
        <w:spacing w:after="0" w:line="240" w:lineRule="auto"/>
        <w:ind w:left="709" w:right="-15" w:hanging="709"/>
        <w:rPr>
          <w:b/>
        </w:rPr>
      </w:pPr>
      <w:r>
        <w:rPr>
          <w:b/>
        </w:rPr>
        <w:t>7.</w:t>
      </w:r>
      <w:r>
        <w:rPr>
          <w:b/>
        </w:rPr>
        <w:tab/>
      </w:r>
      <w:r w:rsidR="000B2FEA">
        <w:rPr>
          <w:b/>
        </w:rPr>
        <w:t>DRAFT DETERMINATION FIRMUS SUPPLY LTD</w:t>
      </w:r>
      <w:r w:rsidR="00CF4EB2">
        <w:rPr>
          <w:b/>
        </w:rPr>
        <w:t xml:space="preserve"> </w:t>
      </w:r>
    </w:p>
    <w:p w:rsidR="009378E8" w:rsidRDefault="009378E8" w:rsidP="009378E8">
      <w:pPr>
        <w:ind w:left="709" w:hanging="724"/>
      </w:pPr>
      <w:r>
        <w:t>7.1</w:t>
      </w:r>
      <w:r w:rsidR="00FF731F">
        <w:tab/>
      </w:r>
      <w:r w:rsidR="000B2FEA">
        <w:t>Kevin Shiels introduced this item which set out the key principles and approach relating to a draft determination for the firmus supply ltd price control</w:t>
      </w:r>
      <w:r w:rsidR="00323ACE">
        <w:t xml:space="preserve"> for discussion by the board</w:t>
      </w:r>
      <w:r w:rsidR="000B2FEA">
        <w:t>.</w:t>
      </w:r>
    </w:p>
    <w:p w:rsidR="008C24F8" w:rsidRDefault="008C24F8" w:rsidP="009378E8">
      <w:pPr>
        <w:ind w:left="709" w:hanging="724"/>
      </w:pPr>
    </w:p>
    <w:p w:rsidR="000B2FEA" w:rsidRDefault="008C24F8" w:rsidP="00412DC3">
      <w:pPr>
        <w:ind w:left="709" w:hanging="724"/>
      </w:pPr>
      <w:r>
        <w:t>7.2</w:t>
      </w:r>
      <w:r>
        <w:tab/>
      </w:r>
      <w:r w:rsidR="00DA44AF">
        <w:t>Much of the board discussion concentrated on the assessment of operating expenditure.  Board members discussed the detailed presentation of the operating expenditure profile and the challenge of setting a cost base for a supply company which was also affiliated to another energy company.  In this context, the basis for identifying and setting efficiencies was also explored.</w:t>
      </w:r>
    </w:p>
    <w:p w:rsidR="00DA44AF" w:rsidRDefault="00DA44AF" w:rsidP="00412DC3">
      <w:pPr>
        <w:ind w:left="709" w:hanging="724"/>
      </w:pPr>
    </w:p>
    <w:p w:rsidR="00DA44AF" w:rsidRDefault="00DA44AF" w:rsidP="00412DC3">
      <w:pPr>
        <w:ind w:left="709" w:hanging="724"/>
      </w:pPr>
      <w:r>
        <w:t>7.3</w:t>
      </w:r>
      <w:r>
        <w:tab/>
      </w:r>
      <w:r w:rsidR="00323ACE">
        <w:t>B</w:t>
      </w:r>
      <w:r>
        <w:t>oard member queries in respect of communication with firmus and the impact of the price control assessment on consumer bills were also addressed.</w:t>
      </w:r>
    </w:p>
    <w:p w:rsidR="002C4093" w:rsidRDefault="002C4093" w:rsidP="00412DC3">
      <w:pPr>
        <w:ind w:left="709" w:hanging="724"/>
      </w:pPr>
    </w:p>
    <w:p w:rsidR="0016692F" w:rsidRDefault="00BA72DA" w:rsidP="00F44F64">
      <w:pPr>
        <w:spacing w:after="0" w:line="240" w:lineRule="auto"/>
        <w:ind w:left="709" w:right="-15" w:hanging="709"/>
        <w:rPr>
          <w:b/>
        </w:rPr>
      </w:pPr>
      <w:r>
        <w:rPr>
          <w:b/>
        </w:rPr>
        <w:t>8.</w:t>
      </w:r>
      <w:r>
        <w:rPr>
          <w:b/>
        </w:rPr>
        <w:tab/>
      </w:r>
      <w:r w:rsidR="00323ACE">
        <w:rPr>
          <w:b/>
        </w:rPr>
        <w:t>GD17 APPROACH</w:t>
      </w:r>
    </w:p>
    <w:p w:rsidR="00323ACE" w:rsidRDefault="00CB23BB" w:rsidP="002F44C6">
      <w:pPr>
        <w:spacing w:after="0" w:line="240" w:lineRule="auto"/>
        <w:ind w:left="709" w:right="-15" w:hanging="709"/>
      </w:pPr>
      <w:r w:rsidRPr="00CB23BB">
        <w:t>8.1</w:t>
      </w:r>
      <w:r w:rsidRPr="00CB23BB">
        <w:tab/>
      </w:r>
      <w:r w:rsidR="00323ACE">
        <w:t>Brian McHugh</w:t>
      </w:r>
      <w:r w:rsidR="00FF4FE6">
        <w:t xml:space="preserve"> introduced this paper which set out the key issues to be considered in the consultation document on the approach to the GD17 (gas distribution networks) price control.  He specifically updated the board on engagement with stakeholders to date and the next steps in the process.  </w:t>
      </w:r>
    </w:p>
    <w:p w:rsidR="00FF4FE6" w:rsidRDefault="00FF4FE6" w:rsidP="002F44C6">
      <w:pPr>
        <w:spacing w:after="0" w:line="240" w:lineRule="auto"/>
        <w:ind w:left="709" w:right="-15" w:hanging="709"/>
      </w:pPr>
    </w:p>
    <w:p w:rsidR="00FF4FE6" w:rsidRDefault="00FF4FE6" w:rsidP="002F44C6">
      <w:pPr>
        <w:spacing w:after="0" w:line="240" w:lineRule="auto"/>
        <w:ind w:left="709" w:right="-15" w:hanging="709"/>
      </w:pPr>
      <w:r>
        <w:t>8.2</w:t>
      </w:r>
      <w:r>
        <w:tab/>
        <w:t xml:space="preserve">The board discussed the connection policy approach and the connection incentive.  On the connections policy issue board members sought clarification on the extent to which this aligned with broader government policy initiatives.  The risks associated with the connection incentive were also discussed.  </w:t>
      </w:r>
    </w:p>
    <w:p w:rsidR="00323ACE" w:rsidRDefault="00323ACE" w:rsidP="002F44C6">
      <w:pPr>
        <w:spacing w:after="0" w:line="240" w:lineRule="auto"/>
        <w:ind w:left="709" w:right="-15" w:hanging="709"/>
      </w:pPr>
    </w:p>
    <w:p w:rsidR="00FF4FE6" w:rsidRDefault="00FF4FE6" w:rsidP="002F44C6">
      <w:pPr>
        <w:spacing w:after="0" w:line="240" w:lineRule="auto"/>
        <w:ind w:left="709" w:right="-15" w:hanging="709"/>
      </w:pPr>
      <w:r>
        <w:t>8.3</w:t>
      </w:r>
      <w:r>
        <w:tab/>
        <w:t xml:space="preserve">Opportunities for consumer engagement were raised.  In this respect the experience of </w:t>
      </w:r>
      <w:r w:rsidR="00C2442E">
        <w:t xml:space="preserve">consumer engagement </w:t>
      </w:r>
      <w:r>
        <w:t>by other regulators</w:t>
      </w:r>
      <w:r w:rsidR="00C2442E">
        <w:t>,</w:t>
      </w:r>
      <w:r>
        <w:t xml:space="preserve"> and on other price controls carried out by the Authority</w:t>
      </w:r>
      <w:r w:rsidR="00C2442E">
        <w:t>,</w:t>
      </w:r>
      <w:r>
        <w:t xml:space="preserve"> were discussed. </w:t>
      </w:r>
      <w:r w:rsidR="00C2442E">
        <w:t xml:space="preserve"> The timing of such engagement was also mentioned.</w:t>
      </w:r>
    </w:p>
    <w:p w:rsidR="00C2442E" w:rsidRDefault="00C2442E" w:rsidP="002F44C6">
      <w:pPr>
        <w:spacing w:after="0" w:line="240" w:lineRule="auto"/>
        <w:ind w:left="709" w:right="-15" w:hanging="709"/>
      </w:pPr>
    </w:p>
    <w:p w:rsidR="00C2442E" w:rsidRDefault="00C2442E" w:rsidP="002F44C6">
      <w:pPr>
        <w:spacing w:after="0" w:line="240" w:lineRule="auto"/>
        <w:ind w:left="709" w:right="-15" w:hanging="709"/>
      </w:pPr>
      <w:r>
        <w:t>8.4</w:t>
      </w:r>
      <w:r>
        <w:tab/>
        <w:t xml:space="preserve">Board members also discussed the presentation and communication of the Authority’s position on the rate of return.  There was </w:t>
      </w:r>
      <w:r w:rsidR="00F748C0">
        <w:t>agreement</w:t>
      </w:r>
      <w:r>
        <w:t xml:space="preserve"> that the approach paper should highlight the significance of the rate of return as an issue.</w:t>
      </w:r>
    </w:p>
    <w:p w:rsidR="00C2442E" w:rsidRDefault="00C2442E" w:rsidP="002F44C6">
      <w:pPr>
        <w:spacing w:after="0" w:line="240" w:lineRule="auto"/>
        <w:ind w:left="709" w:right="-15" w:hanging="709"/>
      </w:pPr>
    </w:p>
    <w:p w:rsidR="00C2442E" w:rsidRDefault="00C2442E" w:rsidP="002F44C6">
      <w:pPr>
        <w:spacing w:after="0" w:line="240" w:lineRule="auto"/>
        <w:ind w:left="709" w:right="-15" w:hanging="709"/>
      </w:pPr>
      <w:r>
        <w:t>8.5</w:t>
      </w:r>
      <w:r>
        <w:tab/>
        <w:t>It was also suggested that further narrative should be provided to justify the time period for the price control.</w:t>
      </w:r>
    </w:p>
    <w:p w:rsidR="00C2442E" w:rsidRDefault="00C2442E" w:rsidP="002F44C6">
      <w:pPr>
        <w:spacing w:after="0" w:line="240" w:lineRule="auto"/>
        <w:ind w:left="709" w:right="-15" w:hanging="709"/>
      </w:pPr>
    </w:p>
    <w:p w:rsidR="00C2442E" w:rsidRDefault="00C2442E" w:rsidP="002F44C6">
      <w:pPr>
        <w:spacing w:after="0" w:line="240" w:lineRule="auto"/>
        <w:ind w:left="709" w:right="-15" w:hanging="709"/>
      </w:pPr>
      <w:r>
        <w:t>8.6</w:t>
      </w:r>
      <w:r>
        <w:tab/>
      </w:r>
      <w:r w:rsidR="00A43C8B">
        <w:t>Finally, the proposed timetable for progressing the price control was discussed.   It was agreed that further papers on GD17 would be discussed at future board and BAF meetings including discussion in advance of the decision paper on the Approach.</w:t>
      </w:r>
      <w:r>
        <w:t>.</w:t>
      </w:r>
    </w:p>
    <w:p w:rsidR="00C2442E" w:rsidRDefault="00C2442E" w:rsidP="002F44C6">
      <w:pPr>
        <w:spacing w:after="0" w:line="240" w:lineRule="auto"/>
        <w:ind w:left="709" w:right="-15" w:hanging="709"/>
      </w:pPr>
    </w:p>
    <w:p w:rsidR="00214E94" w:rsidRPr="009E790F" w:rsidRDefault="00CF4EB2" w:rsidP="00F44F64">
      <w:pPr>
        <w:spacing w:after="0" w:line="240" w:lineRule="auto"/>
        <w:ind w:left="709" w:right="-15" w:hanging="724"/>
        <w:rPr>
          <w:b/>
        </w:rPr>
      </w:pPr>
      <w:r>
        <w:rPr>
          <w:b/>
        </w:rPr>
        <w:t>9</w:t>
      </w:r>
      <w:r w:rsidR="00612771">
        <w:rPr>
          <w:b/>
        </w:rPr>
        <w:t>.</w:t>
      </w:r>
      <w:r w:rsidR="00FF2CB8">
        <w:rPr>
          <w:b/>
        </w:rPr>
        <w:tab/>
      </w:r>
      <w:r w:rsidR="00C2442E">
        <w:rPr>
          <w:b/>
        </w:rPr>
        <w:t xml:space="preserve">COST AND PERFORMANCE </w:t>
      </w:r>
      <w:r w:rsidR="00D04F9F">
        <w:rPr>
          <w:b/>
        </w:rPr>
        <w:t>REPORT</w:t>
      </w:r>
    </w:p>
    <w:p w:rsidR="00D04F9F" w:rsidRDefault="00CF4EB2" w:rsidP="00F44F64">
      <w:pPr>
        <w:ind w:left="709" w:hanging="709"/>
      </w:pPr>
      <w:r>
        <w:t>9</w:t>
      </w:r>
      <w:r w:rsidR="004808D5" w:rsidRPr="004808D5">
        <w:t>.1</w:t>
      </w:r>
      <w:r w:rsidR="004808D5" w:rsidRPr="004808D5">
        <w:tab/>
      </w:r>
      <w:r w:rsidR="00D04F9F">
        <w:t>Tanya</w:t>
      </w:r>
      <w:r w:rsidR="00473863">
        <w:t xml:space="preserve"> Hedley provided an overview of this </w:t>
      </w:r>
      <w:r w:rsidR="00491B27">
        <w:t xml:space="preserve">information </w:t>
      </w:r>
      <w:r w:rsidR="00473863">
        <w:t>paper which set out the approach to the Cost and Performance report for NI Water</w:t>
      </w:r>
      <w:r w:rsidR="00491B27">
        <w:t xml:space="preserve"> for 2013-14.</w:t>
      </w:r>
    </w:p>
    <w:p w:rsidR="00491B27" w:rsidRDefault="00491B27" w:rsidP="00F44F64">
      <w:pPr>
        <w:ind w:left="709" w:hanging="709"/>
      </w:pPr>
    </w:p>
    <w:p w:rsidR="00412DC3" w:rsidRDefault="00491B27" w:rsidP="00491B27">
      <w:pPr>
        <w:ind w:left="709" w:hanging="709"/>
      </w:pPr>
      <w:r>
        <w:t>9.2</w:t>
      </w:r>
      <w:r>
        <w:tab/>
        <w:t>The board noted the paper.</w:t>
      </w:r>
    </w:p>
    <w:p w:rsidR="00246077" w:rsidRPr="00491B27" w:rsidRDefault="00246077" w:rsidP="00491B27">
      <w:pPr>
        <w:ind w:left="709" w:hanging="709"/>
      </w:pPr>
    </w:p>
    <w:p w:rsidR="00491B27" w:rsidRDefault="00E55D2E" w:rsidP="00F44F64">
      <w:pPr>
        <w:spacing w:after="0" w:line="240" w:lineRule="auto"/>
        <w:ind w:left="709" w:right="-15" w:hanging="709"/>
        <w:rPr>
          <w:b/>
        </w:rPr>
      </w:pPr>
      <w:r>
        <w:rPr>
          <w:b/>
        </w:rPr>
        <w:t>10</w:t>
      </w:r>
      <w:r w:rsidR="009E790F">
        <w:rPr>
          <w:b/>
        </w:rPr>
        <w:t>.</w:t>
      </w:r>
      <w:r w:rsidR="009E790F">
        <w:rPr>
          <w:b/>
        </w:rPr>
        <w:tab/>
      </w:r>
      <w:r w:rsidR="00491B27">
        <w:rPr>
          <w:b/>
        </w:rPr>
        <w:t>NORTH ATLANTIC GREEN ZONE FUNDING</w:t>
      </w:r>
    </w:p>
    <w:p w:rsidR="00491B27" w:rsidRDefault="00491B27" w:rsidP="00F44F64">
      <w:pPr>
        <w:spacing w:after="0" w:line="240" w:lineRule="auto"/>
        <w:ind w:left="709" w:right="-15" w:hanging="709"/>
      </w:pPr>
      <w:r w:rsidRPr="00491B27">
        <w:t>10.1</w:t>
      </w:r>
      <w:r w:rsidRPr="00491B27">
        <w:tab/>
      </w:r>
      <w:r>
        <w:t>Jody O’Boyle introduced this information paper regarding a smart grid proposal to Europe for part funding.  The proposal is known as the North Atlantic Green Zone.</w:t>
      </w:r>
    </w:p>
    <w:p w:rsidR="00491B27" w:rsidRDefault="00491B27" w:rsidP="00F44F64">
      <w:pPr>
        <w:spacing w:after="0" w:line="240" w:lineRule="auto"/>
        <w:ind w:left="709" w:right="-15" w:hanging="709"/>
      </w:pPr>
    </w:p>
    <w:p w:rsidR="00491B27" w:rsidRPr="00491B27" w:rsidRDefault="00491B27" w:rsidP="00F44F64">
      <w:pPr>
        <w:spacing w:after="0" w:line="240" w:lineRule="auto"/>
        <w:ind w:left="709" w:right="-15" w:hanging="709"/>
      </w:pPr>
      <w:r>
        <w:t>10.2</w:t>
      </w:r>
      <w:r>
        <w:tab/>
        <w:t>Board members discussed the costs and potential benefits of the proposal and noted that a further paper would be provided to the board at a later date.</w:t>
      </w:r>
    </w:p>
    <w:p w:rsidR="00491B27" w:rsidRDefault="00491B27" w:rsidP="00F44F64">
      <w:pPr>
        <w:spacing w:after="0" w:line="240" w:lineRule="auto"/>
        <w:ind w:left="709" w:right="-15" w:hanging="709"/>
        <w:rPr>
          <w:b/>
        </w:rPr>
      </w:pPr>
    </w:p>
    <w:p w:rsidR="00491B27" w:rsidRDefault="00491B27" w:rsidP="00F44F64">
      <w:pPr>
        <w:spacing w:after="0" w:line="240" w:lineRule="auto"/>
        <w:ind w:left="709" w:right="-15" w:hanging="709"/>
        <w:rPr>
          <w:b/>
        </w:rPr>
      </w:pPr>
      <w:r>
        <w:rPr>
          <w:b/>
        </w:rPr>
        <w:t>11.</w:t>
      </w:r>
      <w:r>
        <w:rPr>
          <w:b/>
        </w:rPr>
        <w:tab/>
        <w:t>ASSESSMENT OF BOARD EFFECTIVENESS UPDATE</w:t>
      </w:r>
    </w:p>
    <w:p w:rsidR="00491B27" w:rsidRDefault="00491B27" w:rsidP="00F44F64">
      <w:pPr>
        <w:spacing w:after="0" w:line="240" w:lineRule="auto"/>
        <w:ind w:left="709" w:right="-15" w:hanging="709"/>
      </w:pPr>
      <w:r w:rsidRPr="00491B27">
        <w:t>11.1</w:t>
      </w:r>
      <w:r w:rsidRPr="00491B27">
        <w:tab/>
        <w:t>Greg Irwin briefed the board on</w:t>
      </w:r>
      <w:r>
        <w:t xml:space="preserve"> progress regarding the actions emerging from the boa</w:t>
      </w:r>
      <w:r w:rsidR="004F62C0">
        <w:t xml:space="preserve">rd review of effectiveness.  </w:t>
      </w:r>
      <w:r w:rsidR="00F5088F">
        <w:t>It was noted that the focus of further work on risk would be on risk appetite.</w:t>
      </w:r>
    </w:p>
    <w:p w:rsidR="00F5088F" w:rsidRDefault="00F5088F" w:rsidP="00F44F64">
      <w:pPr>
        <w:spacing w:after="0" w:line="240" w:lineRule="auto"/>
        <w:ind w:left="709" w:right="-15" w:hanging="709"/>
      </w:pPr>
    </w:p>
    <w:p w:rsidR="00F5088F" w:rsidRPr="00491B27" w:rsidRDefault="00F5088F" w:rsidP="00F44F64">
      <w:pPr>
        <w:spacing w:after="0" w:line="240" w:lineRule="auto"/>
        <w:ind w:left="709" w:right="-15" w:hanging="709"/>
      </w:pPr>
      <w:r>
        <w:t>11.2</w:t>
      </w:r>
      <w:r>
        <w:tab/>
        <w:t>The board noted the update.</w:t>
      </w:r>
    </w:p>
    <w:p w:rsidR="00491B27" w:rsidRDefault="00491B27" w:rsidP="00F44F64">
      <w:pPr>
        <w:spacing w:after="0" w:line="240" w:lineRule="auto"/>
        <w:ind w:left="709" w:right="-15" w:hanging="709"/>
        <w:rPr>
          <w:b/>
        </w:rPr>
      </w:pPr>
    </w:p>
    <w:p w:rsidR="0063798C" w:rsidRDefault="0063798C" w:rsidP="00F44F64">
      <w:pPr>
        <w:spacing w:after="0" w:line="240" w:lineRule="auto"/>
        <w:ind w:left="709" w:right="-15" w:hanging="709"/>
        <w:rPr>
          <w:b/>
        </w:rPr>
      </w:pPr>
      <w:r>
        <w:rPr>
          <w:b/>
        </w:rPr>
        <w:t>12.</w:t>
      </w:r>
      <w:r>
        <w:rPr>
          <w:b/>
        </w:rPr>
        <w:tab/>
        <w:t>MINUTES</w:t>
      </w:r>
    </w:p>
    <w:p w:rsidR="0063798C" w:rsidRDefault="0063798C" w:rsidP="0063798C">
      <w:pPr>
        <w:spacing w:after="0" w:line="240" w:lineRule="auto"/>
        <w:ind w:left="709" w:right="-15" w:hanging="709"/>
      </w:pPr>
      <w:r w:rsidRPr="0063798C">
        <w:t>12.1</w:t>
      </w:r>
      <w:r>
        <w:tab/>
      </w:r>
      <w:r w:rsidRPr="004808D5">
        <w:t xml:space="preserve">The minutes of the meeting on </w:t>
      </w:r>
      <w:r>
        <w:t xml:space="preserve">12 September 2014 </w:t>
      </w:r>
      <w:r w:rsidRPr="004808D5">
        <w:t xml:space="preserve">were approved </w:t>
      </w:r>
      <w:r>
        <w:t xml:space="preserve">for publication.  </w:t>
      </w:r>
    </w:p>
    <w:p w:rsidR="0063798C" w:rsidRPr="0063798C" w:rsidRDefault="0063798C" w:rsidP="00F44F64">
      <w:pPr>
        <w:spacing w:after="0" w:line="240" w:lineRule="auto"/>
        <w:ind w:left="709" w:right="-15" w:hanging="709"/>
      </w:pPr>
    </w:p>
    <w:p w:rsidR="0063798C" w:rsidRDefault="0063798C" w:rsidP="00F44F64">
      <w:pPr>
        <w:spacing w:after="0" w:line="240" w:lineRule="auto"/>
        <w:ind w:left="709" w:right="-15" w:hanging="709"/>
        <w:rPr>
          <w:b/>
        </w:rPr>
      </w:pPr>
      <w:r>
        <w:rPr>
          <w:b/>
        </w:rPr>
        <w:t>13.</w:t>
      </w:r>
      <w:r>
        <w:rPr>
          <w:b/>
        </w:rPr>
        <w:tab/>
        <w:t>ACTION POINTS</w:t>
      </w:r>
    </w:p>
    <w:p w:rsidR="0063798C" w:rsidRPr="0063798C" w:rsidRDefault="0063798C" w:rsidP="00F44F64">
      <w:pPr>
        <w:spacing w:after="0" w:line="240" w:lineRule="auto"/>
        <w:ind w:left="709" w:right="-15" w:hanging="709"/>
      </w:pPr>
      <w:r w:rsidRPr="0063798C">
        <w:t>13.1</w:t>
      </w:r>
      <w:r w:rsidRPr="0063798C">
        <w:tab/>
      </w:r>
      <w:r w:rsidR="001C677F">
        <w:t>The action points were reviewed.</w:t>
      </w:r>
      <w:r w:rsidR="00C671DD">
        <w:t xml:space="preserve">  It was noted that the board would discuss the price control approach paper before the end of the year.</w:t>
      </w:r>
    </w:p>
    <w:p w:rsidR="0063798C" w:rsidRDefault="0063798C" w:rsidP="00F44F64">
      <w:pPr>
        <w:spacing w:after="0" w:line="240" w:lineRule="auto"/>
        <w:ind w:left="709" w:right="-15" w:hanging="709"/>
        <w:rPr>
          <w:b/>
        </w:rPr>
      </w:pPr>
    </w:p>
    <w:p w:rsidR="00214E94" w:rsidRPr="009E790F" w:rsidRDefault="0063798C" w:rsidP="00F44F64">
      <w:pPr>
        <w:spacing w:after="0" w:line="240" w:lineRule="auto"/>
        <w:ind w:left="709" w:right="-15" w:hanging="709"/>
        <w:rPr>
          <w:b/>
        </w:rPr>
      </w:pPr>
      <w:r>
        <w:rPr>
          <w:b/>
        </w:rPr>
        <w:t>14.</w:t>
      </w:r>
      <w:r>
        <w:rPr>
          <w:b/>
        </w:rPr>
        <w:tab/>
      </w:r>
      <w:r w:rsidR="00214E94" w:rsidRPr="009E790F">
        <w:rPr>
          <w:b/>
        </w:rPr>
        <w:t>REPORT FROM THE EXECUTIVE TEAM</w:t>
      </w:r>
      <w:r w:rsidR="002139C6">
        <w:rPr>
          <w:b/>
        </w:rPr>
        <w:t xml:space="preserve"> AND FINANCE AND PERFORMANCE SUMMARY</w:t>
      </w:r>
    </w:p>
    <w:p w:rsidR="00214E94" w:rsidRDefault="00E55D2E" w:rsidP="006641A1">
      <w:pPr>
        <w:ind w:left="709" w:hanging="709"/>
      </w:pPr>
      <w:r>
        <w:t>1</w:t>
      </w:r>
      <w:r w:rsidR="00246077">
        <w:t>4</w:t>
      </w:r>
      <w:r w:rsidR="0036772A" w:rsidRPr="0036772A">
        <w:t>.1</w:t>
      </w:r>
      <w:r w:rsidR="0036772A" w:rsidRPr="0036772A">
        <w:tab/>
      </w:r>
      <w:r w:rsidR="006641A1">
        <w:t>Jenny Pyper</w:t>
      </w:r>
      <w:r w:rsidR="0036772A">
        <w:t xml:space="preserve"> introduced this item and provided an overview of key </w:t>
      </w:r>
      <w:r w:rsidR="006641A1">
        <w:t>developments and meetings with stakeholders since the last board meeting.</w:t>
      </w:r>
    </w:p>
    <w:p w:rsidR="0036772A" w:rsidRDefault="0036772A" w:rsidP="003D650B">
      <w:pPr>
        <w:ind w:left="0" w:firstLine="0"/>
      </w:pPr>
    </w:p>
    <w:p w:rsidR="00C671DD" w:rsidRDefault="00E55D2E" w:rsidP="0036772A">
      <w:pPr>
        <w:ind w:left="709" w:hanging="709"/>
      </w:pPr>
      <w:r>
        <w:t>1</w:t>
      </w:r>
      <w:r w:rsidR="00246077">
        <w:t>4</w:t>
      </w:r>
      <w:r w:rsidR="00AE798B">
        <w:t>.2</w:t>
      </w:r>
      <w:r w:rsidR="00AE798B">
        <w:tab/>
      </w:r>
      <w:r w:rsidR="009931CC">
        <w:t xml:space="preserve">Updates were provided in respect of the </w:t>
      </w:r>
      <w:r w:rsidR="00C671DD">
        <w:t xml:space="preserve">I-SEM and </w:t>
      </w:r>
      <w:r w:rsidR="009931CC">
        <w:t>Gas to the West.  T</w:t>
      </w:r>
      <w:r w:rsidR="00C671DD">
        <w:t xml:space="preserve">here was a discussion around timing issues associated with the delivery of the </w:t>
      </w:r>
      <w:r w:rsidR="009931CC">
        <w:t xml:space="preserve">I-SEM and board members </w:t>
      </w:r>
      <w:r w:rsidR="00573B55">
        <w:t>clarified</w:t>
      </w:r>
      <w:r w:rsidR="009931CC">
        <w:t xml:space="preserve"> the </w:t>
      </w:r>
      <w:r w:rsidR="00573B55">
        <w:t xml:space="preserve">next steps in the </w:t>
      </w:r>
      <w:r w:rsidR="009931CC">
        <w:t>Gas to the West</w:t>
      </w:r>
      <w:r w:rsidR="00573B55">
        <w:t xml:space="preserve"> process</w:t>
      </w:r>
      <w:r w:rsidR="00C671DD">
        <w:t>.</w:t>
      </w:r>
    </w:p>
    <w:p w:rsidR="00C671DD" w:rsidRDefault="00C671DD" w:rsidP="0036772A">
      <w:pPr>
        <w:ind w:left="709" w:hanging="709"/>
      </w:pPr>
    </w:p>
    <w:p w:rsidR="003B635F" w:rsidRDefault="00C671DD" w:rsidP="0036772A">
      <w:pPr>
        <w:ind w:left="709" w:hanging="709"/>
      </w:pPr>
      <w:r>
        <w:t>1</w:t>
      </w:r>
      <w:r w:rsidR="00246077">
        <w:t>4</w:t>
      </w:r>
      <w:r>
        <w:t>.3</w:t>
      </w:r>
      <w:r>
        <w:tab/>
      </w:r>
      <w:r w:rsidR="00573B55">
        <w:t xml:space="preserve">The board were briefed on the public communication of recent electricity and gas tariff reviews.  </w:t>
      </w:r>
    </w:p>
    <w:p w:rsidR="003B635F" w:rsidRDefault="003B635F" w:rsidP="0036772A">
      <w:pPr>
        <w:ind w:left="709" w:hanging="709"/>
      </w:pPr>
    </w:p>
    <w:p w:rsidR="003B635F" w:rsidRDefault="003B635F" w:rsidP="0036772A">
      <w:pPr>
        <w:ind w:left="709" w:hanging="709"/>
      </w:pPr>
      <w:r>
        <w:t>1</w:t>
      </w:r>
      <w:r w:rsidR="00246077">
        <w:t>4</w:t>
      </w:r>
      <w:r>
        <w:t>.4</w:t>
      </w:r>
      <w:r>
        <w:tab/>
        <w:t>An update on the PC15 price control was also provided.  The board discussed the broader public expenditure environment and the potential impact on NI Water’s budget.</w:t>
      </w:r>
    </w:p>
    <w:p w:rsidR="003A45C0" w:rsidRDefault="003A45C0" w:rsidP="0036772A">
      <w:pPr>
        <w:ind w:left="709" w:hanging="709"/>
      </w:pPr>
    </w:p>
    <w:p w:rsidR="003A45C0" w:rsidRDefault="00E55D2E" w:rsidP="003B635F">
      <w:pPr>
        <w:ind w:left="709" w:hanging="709"/>
      </w:pPr>
      <w:r>
        <w:t>1</w:t>
      </w:r>
      <w:r w:rsidR="00246077">
        <w:t>4</w:t>
      </w:r>
      <w:r w:rsidR="003B635F">
        <w:t>.5</w:t>
      </w:r>
      <w:r w:rsidR="003A45C0">
        <w:tab/>
      </w:r>
      <w:r w:rsidR="003B635F">
        <w:t xml:space="preserve">Board members were also briefed on recent engagement with the UK Regulators network (UKRN) and UK Competition network (UKCN). </w:t>
      </w:r>
    </w:p>
    <w:p w:rsidR="003A45C0" w:rsidRDefault="003A45C0" w:rsidP="0036772A">
      <w:pPr>
        <w:ind w:left="709" w:hanging="709"/>
      </w:pPr>
    </w:p>
    <w:p w:rsidR="00EA11B5" w:rsidRDefault="00E55D2E" w:rsidP="0036772A">
      <w:pPr>
        <w:ind w:left="709" w:hanging="709"/>
      </w:pPr>
      <w:r>
        <w:t>1</w:t>
      </w:r>
      <w:r w:rsidR="00246077">
        <w:t>4</w:t>
      </w:r>
      <w:r w:rsidR="00612BAE">
        <w:t>.</w:t>
      </w:r>
      <w:r w:rsidR="003B635F">
        <w:t>6</w:t>
      </w:r>
      <w:r w:rsidR="0036772A">
        <w:tab/>
      </w:r>
      <w:r w:rsidR="00410645">
        <w:t xml:space="preserve">Board members noted and approved the finance and performance summary which included the year to date budget position, </w:t>
      </w:r>
      <w:r w:rsidR="00EA11B5">
        <w:t xml:space="preserve">staffing and absence figures, </w:t>
      </w:r>
      <w:r w:rsidR="00410645">
        <w:t>th</w:t>
      </w:r>
      <w:r w:rsidR="00EA11B5">
        <w:t xml:space="preserve">e draft corporate risk register and </w:t>
      </w:r>
      <w:r w:rsidR="00410645">
        <w:t>the assessment of</w:t>
      </w:r>
      <w:r w:rsidR="00EA11B5">
        <w:t xml:space="preserve"> progress against FWP targets.  </w:t>
      </w:r>
      <w:r w:rsidR="00EF46DE">
        <w:t xml:space="preserve">It was also noted that the mid-year review of the budget would be finalised by the next board meeting. </w:t>
      </w:r>
    </w:p>
    <w:p w:rsidR="008022CA" w:rsidRDefault="008022CA" w:rsidP="0036772A">
      <w:pPr>
        <w:ind w:left="709" w:hanging="709"/>
      </w:pPr>
    </w:p>
    <w:p w:rsidR="00FF2CB8" w:rsidRDefault="00EF46DE" w:rsidP="00CF4EB2">
      <w:pPr>
        <w:spacing w:after="0" w:line="240" w:lineRule="auto"/>
        <w:ind w:right="-15" w:hanging="422"/>
        <w:rPr>
          <w:b/>
        </w:rPr>
      </w:pPr>
      <w:r>
        <w:rPr>
          <w:b/>
        </w:rPr>
        <w:t>1</w:t>
      </w:r>
      <w:r w:rsidR="00246077">
        <w:rPr>
          <w:b/>
        </w:rPr>
        <w:t>5</w:t>
      </w:r>
      <w:r w:rsidR="004F7150">
        <w:rPr>
          <w:b/>
        </w:rPr>
        <w:t>.</w:t>
      </w:r>
      <w:r w:rsidR="004F7150">
        <w:rPr>
          <w:b/>
        </w:rPr>
        <w:tab/>
      </w:r>
      <w:r w:rsidR="004F7150">
        <w:rPr>
          <w:b/>
        </w:rPr>
        <w:tab/>
      </w:r>
      <w:r w:rsidR="00FF2CB8" w:rsidRPr="006B5E30">
        <w:rPr>
          <w:b/>
        </w:rPr>
        <w:t>ANY OTHER BUSINESS</w:t>
      </w:r>
    </w:p>
    <w:p w:rsidR="00196180" w:rsidRDefault="00EF46DE" w:rsidP="0047016D">
      <w:pPr>
        <w:spacing w:after="0" w:line="240" w:lineRule="auto"/>
        <w:ind w:left="709" w:right="-15" w:hanging="709"/>
      </w:pPr>
      <w:r>
        <w:t>1</w:t>
      </w:r>
      <w:r w:rsidR="00246077">
        <w:t>5</w:t>
      </w:r>
      <w:r w:rsidR="00B669B6" w:rsidRPr="00B669B6">
        <w:t>.1</w:t>
      </w:r>
      <w:r w:rsidR="00B669B6" w:rsidRPr="00B669B6">
        <w:tab/>
      </w:r>
      <w:r>
        <w:t>Richard Rodgers provided an overview of the audit committee which took place on the day prior to the board meeting</w:t>
      </w:r>
      <w:r w:rsidR="009D66BD">
        <w:t xml:space="preserve">.  </w:t>
      </w:r>
    </w:p>
    <w:p w:rsidR="004F7150" w:rsidRDefault="004F7150" w:rsidP="0047016D">
      <w:pPr>
        <w:spacing w:after="0" w:line="240" w:lineRule="auto"/>
        <w:ind w:left="709" w:right="-15" w:hanging="709"/>
      </w:pPr>
    </w:p>
    <w:p w:rsidR="004F7150" w:rsidRPr="00B669B6" w:rsidRDefault="00EF46DE" w:rsidP="0047016D">
      <w:pPr>
        <w:spacing w:after="0" w:line="240" w:lineRule="auto"/>
        <w:ind w:left="709" w:right="-15" w:hanging="709"/>
      </w:pPr>
      <w:r>
        <w:t>1</w:t>
      </w:r>
      <w:r w:rsidR="00246077">
        <w:t>5</w:t>
      </w:r>
      <w:r w:rsidR="004F7150">
        <w:t>.2</w:t>
      </w:r>
      <w:r w:rsidR="004F7150">
        <w:tab/>
        <w:t xml:space="preserve">A short meeting review was conducted focusing on agenda and </w:t>
      </w:r>
      <w:r w:rsidR="002D3AF8">
        <w:t xml:space="preserve">the </w:t>
      </w:r>
      <w:r w:rsidR="004F7150">
        <w:t>presentation of papers.</w:t>
      </w:r>
    </w:p>
    <w:p w:rsidR="00B669B6" w:rsidRDefault="00B669B6" w:rsidP="005D6F7F">
      <w:pPr>
        <w:spacing w:after="0" w:line="240" w:lineRule="auto"/>
        <w:ind w:left="-15" w:firstLine="0"/>
        <w:rPr>
          <w:b/>
        </w:rPr>
      </w:pPr>
    </w:p>
    <w:p w:rsidR="007F7177" w:rsidRDefault="001A4584" w:rsidP="005D6F7F">
      <w:pPr>
        <w:spacing w:after="0" w:line="240" w:lineRule="auto"/>
        <w:ind w:left="-15" w:firstLine="0"/>
      </w:pPr>
      <w:r>
        <w:t>There being no other busines</w:t>
      </w:r>
      <w:r w:rsidR="003F47F3">
        <w:t xml:space="preserve">s the meeting concluded at </w:t>
      </w:r>
      <w:r w:rsidR="002D3AF8">
        <w:t>1.10</w:t>
      </w:r>
      <w:r w:rsidR="006C4941">
        <w:t xml:space="preserve"> </w:t>
      </w:r>
      <w:r w:rsidR="007F6F61">
        <w:t>p</w:t>
      </w:r>
      <w:r>
        <w:t>m.</w:t>
      </w:r>
    </w:p>
    <w:sectPr w:rsidR="007F7177" w:rsidSect="00D01431">
      <w:headerReference w:type="default" r:id="rId8"/>
      <w:footerReference w:type="even" r:id="rId9"/>
      <w:footerReference w:type="default" r:id="rId10"/>
      <w:footerReference w:type="first" r:id="rId11"/>
      <w:pgSz w:w="12240" w:h="15840"/>
      <w:pgMar w:top="1444" w:right="1129" w:bottom="1529" w:left="1275" w:header="720" w:footer="7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884" w:rsidRDefault="00264884">
      <w:pPr>
        <w:spacing w:after="0" w:line="240" w:lineRule="auto"/>
      </w:pPr>
      <w:r>
        <w:separator/>
      </w:r>
    </w:p>
  </w:endnote>
  <w:endnote w:type="continuationSeparator" w:id="0">
    <w:p w:rsidR="00264884" w:rsidRDefault="002648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130C6F">
    <w:pPr>
      <w:spacing w:after="0" w:line="240" w:lineRule="auto"/>
      <w:ind w:left="0" w:firstLine="0"/>
      <w:jc w:val="center"/>
    </w:pPr>
    <w:fldSimple w:instr=" PAGE   \* MERGEFORMAT ">
      <w:r w:rsidR="004D3401">
        <w:t>1</w:t>
      </w:r>
    </w:fldSimple>
    <w:r w:rsidR="004D3401">
      <w:t xml:space="preserve"> </w:t>
    </w:r>
  </w:p>
  <w:p w:rsidR="004D3401" w:rsidRDefault="004D3401">
    <w:pPr>
      <w:spacing w:after="0" w:line="240" w:lineRule="auto"/>
      <w:ind w:left="0" w:firstLine="0"/>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130C6F">
    <w:pPr>
      <w:spacing w:after="0" w:line="240" w:lineRule="auto"/>
      <w:ind w:left="0" w:firstLine="0"/>
      <w:jc w:val="center"/>
    </w:pPr>
    <w:fldSimple w:instr=" PAGE   \* MERGEFORMAT ">
      <w:r w:rsidR="008364C7">
        <w:rPr>
          <w:noProof/>
        </w:rPr>
        <w:t>1</w:t>
      </w:r>
    </w:fldSimple>
    <w:r w:rsidR="004D3401">
      <w:t xml:space="preserve"> </w:t>
    </w:r>
  </w:p>
  <w:p w:rsidR="004D3401" w:rsidRDefault="004D3401">
    <w:pPr>
      <w:spacing w:after="0" w:line="240" w:lineRule="auto"/>
      <w:ind w:left="0" w:firstLine="0"/>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130C6F">
    <w:pPr>
      <w:spacing w:after="0" w:line="240" w:lineRule="auto"/>
      <w:ind w:left="0" w:firstLine="0"/>
      <w:jc w:val="center"/>
    </w:pPr>
    <w:fldSimple w:instr=" PAGE   \* MERGEFORMAT ">
      <w:r w:rsidR="004D3401">
        <w:t>1</w:t>
      </w:r>
    </w:fldSimple>
    <w:r w:rsidR="004D3401">
      <w:t xml:space="preserve"> </w:t>
    </w:r>
  </w:p>
  <w:p w:rsidR="004D3401" w:rsidRDefault="004D3401">
    <w:pPr>
      <w:spacing w:after="0" w:line="240" w:lineRule="auto"/>
      <w:ind w:left="0" w:firstLine="0"/>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884" w:rsidRDefault="00264884">
      <w:pPr>
        <w:spacing w:after="0" w:line="240" w:lineRule="auto"/>
      </w:pPr>
      <w:r>
        <w:separator/>
      </w:r>
    </w:p>
  </w:footnote>
  <w:footnote w:type="continuationSeparator" w:id="0">
    <w:p w:rsidR="00264884" w:rsidRDefault="002648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23ACC"/>
    <w:multiLevelType w:val="multilevel"/>
    <w:tmpl w:val="AA9E2298"/>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BDB7308"/>
    <w:multiLevelType w:val="multilevel"/>
    <w:tmpl w:val="B2A01E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7110D83"/>
    <w:multiLevelType w:val="multilevel"/>
    <w:tmpl w:val="58E82E76"/>
    <w:lvl w:ilvl="0">
      <w:start w:val="14"/>
      <w:numFmt w:val="decimal"/>
      <w:lvlText w:val="%1"/>
      <w:lvlJc w:val="left"/>
      <w:pPr>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nsid w:val="2B755268"/>
    <w:multiLevelType w:val="multilevel"/>
    <w:tmpl w:val="5414EB38"/>
    <w:lvl w:ilvl="0">
      <w:start w:val="1"/>
      <w:numFmt w:val="decimal"/>
      <w:lvlText w:val="%1."/>
      <w:lvlJc w:val="left"/>
      <w:pPr>
        <w:ind w:left="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nsid w:val="3AE7754C"/>
    <w:multiLevelType w:val="multilevel"/>
    <w:tmpl w:val="ABF0814E"/>
    <w:lvl w:ilvl="0">
      <w:start w:val="12"/>
      <w:numFmt w:val="decimal"/>
      <w:lvlText w:val="%1"/>
      <w:lvlJc w:val="left"/>
      <w:pPr>
        <w:ind w:left="465" w:hanging="465"/>
      </w:pPr>
      <w:rPr>
        <w:rFonts w:hint="default"/>
        <w:b/>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3E6D2019"/>
    <w:multiLevelType w:val="hybridMultilevel"/>
    <w:tmpl w:val="4B22BD32"/>
    <w:lvl w:ilvl="0" w:tplc="C2ACC528">
      <w:start w:val="15"/>
      <w:numFmt w:val="decimal"/>
      <w:lvlText w:val="%1."/>
      <w:lvlJc w:val="left"/>
      <w:pPr>
        <w:ind w:left="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9727FB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01AE0E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C909C6E">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F14AA7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D1A5D2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2BE2E2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AEC0AE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544A3B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
    <w:nsid w:val="40FE1339"/>
    <w:multiLevelType w:val="hybridMultilevel"/>
    <w:tmpl w:val="D6283DCA"/>
    <w:lvl w:ilvl="0" w:tplc="B922E72A">
      <w:start w:val="1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7BD564C"/>
    <w:multiLevelType w:val="hybridMultilevel"/>
    <w:tmpl w:val="C2FCCB44"/>
    <w:lvl w:ilvl="0" w:tplc="8450799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9612E4">
      <w:start w:val="1"/>
      <w:numFmt w:val="bullet"/>
      <w:lvlRestart w:val="0"/>
      <w:lvlText w:val="•"/>
      <w:lvlJc w:val="left"/>
      <w:pPr>
        <w:ind w:left="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BA0EA6">
      <w:start w:val="1"/>
      <w:numFmt w:val="bullet"/>
      <w:lvlText w:val="▪"/>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947E1A">
      <w:start w:val="1"/>
      <w:numFmt w:val="bullet"/>
      <w:lvlText w:val="•"/>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665774">
      <w:start w:val="1"/>
      <w:numFmt w:val="bullet"/>
      <w:lvlText w:val="o"/>
      <w:lvlJc w:val="left"/>
      <w:pPr>
        <w:ind w:left="2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341FBC">
      <w:start w:val="1"/>
      <w:numFmt w:val="bullet"/>
      <w:lvlText w:val="▪"/>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7ACB46">
      <w:start w:val="1"/>
      <w:numFmt w:val="bullet"/>
      <w:lvlText w:val="•"/>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848CCC">
      <w:start w:val="1"/>
      <w:numFmt w:val="bullet"/>
      <w:lvlText w:val="o"/>
      <w:lvlJc w:val="left"/>
      <w:pPr>
        <w:ind w:left="5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52A2DA">
      <w:start w:val="1"/>
      <w:numFmt w:val="bullet"/>
      <w:lvlText w:val="▪"/>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49D54558"/>
    <w:multiLevelType w:val="multilevel"/>
    <w:tmpl w:val="0BD8B00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66E242F0"/>
    <w:multiLevelType w:val="hybridMultilevel"/>
    <w:tmpl w:val="56DED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AA50636"/>
    <w:multiLevelType w:val="multilevel"/>
    <w:tmpl w:val="F856A7CC"/>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5"/>
  </w:num>
  <w:num w:numId="3">
    <w:abstractNumId w:val="7"/>
  </w:num>
  <w:num w:numId="4">
    <w:abstractNumId w:val="4"/>
  </w:num>
  <w:num w:numId="5">
    <w:abstractNumId w:val="10"/>
  </w:num>
  <w:num w:numId="6">
    <w:abstractNumId w:val="0"/>
  </w:num>
  <w:num w:numId="7">
    <w:abstractNumId w:val="9"/>
  </w:num>
  <w:num w:numId="8">
    <w:abstractNumId w:val="6"/>
  </w:num>
  <w:num w:numId="9">
    <w:abstractNumId w:val="2"/>
  </w:num>
  <w:num w:numId="10">
    <w:abstractNumId w:val="8"/>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savePreviewPicture/>
  <w:hdrShapeDefaults>
    <o:shapedefaults v:ext="edit" spidmax="2050"/>
  </w:hdrShapeDefaults>
  <w:footnotePr>
    <w:footnote w:id="-1"/>
    <w:footnote w:id="0"/>
  </w:footnotePr>
  <w:endnotePr>
    <w:endnote w:id="-1"/>
    <w:endnote w:id="0"/>
  </w:endnotePr>
  <w:compat/>
  <w:rsids>
    <w:rsidRoot w:val="007F7177"/>
    <w:rsid w:val="00001AAF"/>
    <w:rsid w:val="00002C44"/>
    <w:rsid w:val="00016169"/>
    <w:rsid w:val="00017EB0"/>
    <w:rsid w:val="000224D8"/>
    <w:rsid w:val="00030A42"/>
    <w:rsid w:val="00033438"/>
    <w:rsid w:val="00034C7F"/>
    <w:rsid w:val="00044564"/>
    <w:rsid w:val="0004587D"/>
    <w:rsid w:val="00054096"/>
    <w:rsid w:val="00071B9C"/>
    <w:rsid w:val="00073783"/>
    <w:rsid w:val="00076D6E"/>
    <w:rsid w:val="0008303B"/>
    <w:rsid w:val="0008419A"/>
    <w:rsid w:val="00090E05"/>
    <w:rsid w:val="00091CDA"/>
    <w:rsid w:val="00092800"/>
    <w:rsid w:val="000961AF"/>
    <w:rsid w:val="000A2A56"/>
    <w:rsid w:val="000A3ACB"/>
    <w:rsid w:val="000B2FEA"/>
    <w:rsid w:val="000B41CB"/>
    <w:rsid w:val="000B4B6E"/>
    <w:rsid w:val="000C4B9D"/>
    <w:rsid w:val="000C62CF"/>
    <w:rsid w:val="000C74ED"/>
    <w:rsid w:val="000C7523"/>
    <w:rsid w:val="000D0309"/>
    <w:rsid w:val="000D20EC"/>
    <w:rsid w:val="000D266D"/>
    <w:rsid w:val="000D307A"/>
    <w:rsid w:val="000E1223"/>
    <w:rsid w:val="000E56EF"/>
    <w:rsid w:val="000E6A41"/>
    <w:rsid w:val="000F3662"/>
    <w:rsid w:val="000F42DD"/>
    <w:rsid w:val="000F4DB4"/>
    <w:rsid w:val="000F78A3"/>
    <w:rsid w:val="00110406"/>
    <w:rsid w:val="001152C6"/>
    <w:rsid w:val="001256D8"/>
    <w:rsid w:val="00130C6F"/>
    <w:rsid w:val="0013148A"/>
    <w:rsid w:val="00143F40"/>
    <w:rsid w:val="001459F4"/>
    <w:rsid w:val="00146516"/>
    <w:rsid w:val="001607AE"/>
    <w:rsid w:val="001623D6"/>
    <w:rsid w:val="00163145"/>
    <w:rsid w:val="00163CDE"/>
    <w:rsid w:val="0016692F"/>
    <w:rsid w:val="0017077D"/>
    <w:rsid w:val="00174061"/>
    <w:rsid w:val="00180873"/>
    <w:rsid w:val="00181391"/>
    <w:rsid w:val="00181A27"/>
    <w:rsid w:val="00181A83"/>
    <w:rsid w:val="00181AAB"/>
    <w:rsid w:val="00182DB2"/>
    <w:rsid w:val="00183D56"/>
    <w:rsid w:val="00186E12"/>
    <w:rsid w:val="0019068D"/>
    <w:rsid w:val="001920F3"/>
    <w:rsid w:val="001940A5"/>
    <w:rsid w:val="00194521"/>
    <w:rsid w:val="00196180"/>
    <w:rsid w:val="001A227E"/>
    <w:rsid w:val="001A4584"/>
    <w:rsid w:val="001B3DBF"/>
    <w:rsid w:val="001C2866"/>
    <w:rsid w:val="001C677F"/>
    <w:rsid w:val="001C7DE7"/>
    <w:rsid w:val="001D2F51"/>
    <w:rsid w:val="001D3609"/>
    <w:rsid w:val="001D4C1F"/>
    <w:rsid w:val="001D576E"/>
    <w:rsid w:val="001E0A75"/>
    <w:rsid w:val="001F03D1"/>
    <w:rsid w:val="001F1E04"/>
    <w:rsid w:val="001F7D8F"/>
    <w:rsid w:val="00203044"/>
    <w:rsid w:val="00206E6B"/>
    <w:rsid w:val="00210E90"/>
    <w:rsid w:val="002138CD"/>
    <w:rsid w:val="002139C6"/>
    <w:rsid w:val="00214E94"/>
    <w:rsid w:val="002152DB"/>
    <w:rsid w:val="00221482"/>
    <w:rsid w:val="002230D3"/>
    <w:rsid w:val="00224DBF"/>
    <w:rsid w:val="00225071"/>
    <w:rsid w:val="00232777"/>
    <w:rsid w:val="00234132"/>
    <w:rsid w:val="00235498"/>
    <w:rsid w:val="00235D4B"/>
    <w:rsid w:val="00240336"/>
    <w:rsid w:val="002410FC"/>
    <w:rsid w:val="0024289D"/>
    <w:rsid w:val="002442CA"/>
    <w:rsid w:val="00246077"/>
    <w:rsid w:val="00246C60"/>
    <w:rsid w:val="00251823"/>
    <w:rsid w:val="00254AA9"/>
    <w:rsid w:val="002559D2"/>
    <w:rsid w:val="002638E8"/>
    <w:rsid w:val="00264884"/>
    <w:rsid w:val="00265728"/>
    <w:rsid w:val="002715E9"/>
    <w:rsid w:val="00273281"/>
    <w:rsid w:val="00277A45"/>
    <w:rsid w:val="00282348"/>
    <w:rsid w:val="0028288C"/>
    <w:rsid w:val="00290B91"/>
    <w:rsid w:val="00290BBE"/>
    <w:rsid w:val="002944DB"/>
    <w:rsid w:val="00294E3A"/>
    <w:rsid w:val="002A05C5"/>
    <w:rsid w:val="002A216B"/>
    <w:rsid w:val="002A6A29"/>
    <w:rsid w:val="002A7130"/>
    <w:rsid w:val="002A71E3"/>
    <w:rsid w:val="002B2EDE"/>
    <w:rsid w:val="002B3B83"/>
    <w:rsid w:val="002C4093"/>
    <w:rsid w:val="002C4AEC"/>
    <w:rsid w:val="002C68E3"/>
    <w:rsid w:val="002C70A5"/>
    <w:rsid w:val="002D3AF8"/>
    <w:rsid w:val="002E3CC1"/>
    <w:rsid w:val="002F2D8B"/>
    <w:rsid w:val="002F44C6"/>
    <w:rsid w:val="0030163E"/>
    <w:rsid w:val="00303C27"/>
    <w:rsid w:val="00305385"/>
    <w:rsid w:val="00307937"/>
    <w:rsid w:val="0031448C"/>
    <w:rsid w:val="00320589"/>
    <w:rsid w:val="00322616"/>
    <w:rsid w:val="00323ACE"/>
    <w:rsid w:val="0032634E"/>
    <w:rsid w:val="00330BA5"/>
    <w:rsid w:val="00334511"/>
    <w:rsid w:val="003364D2"/>
    <w:rsid w:val="003606AD"/>
    <w:rsid w:val="00362464"/>
    <w:rsid w:val="003663E0"/>
    <w:rsid w:val="0036772A"/>
    <w:rsid w:val="0037495D"/>
    <w:rsid w:val="00381A3B"/>
    <w:rsid w:val="00385A80"/>
    <w:rsid w:val="00391DA1"/>
    <w:rsid w:val="003955B4"/>
    <w:rsid w:val="003A1A19"/>
    <w:rsid w:val="003A45C0"/>
    <w:rsid w:val="003A4C5D"/>
    <w:rsid w:val="003B375E"/>
    <w:rsid w:val="003B635F"/>
    <w:rsid w:val="003C1B00"/>
    <w:rsid w:val="003C4EEE"/>
    <w:rsid w:val="003C569C"/>
    <w:rsid w:val="003D3E56"/>
    <w:rsid w:val="003D49ED"/>
    <w:rsid w:val="003D6054"/>
    <w:rsid w:val="003D650B"/>
    <w:rsid w:val="003D6AD9"/>
    <w:rsid w:val="003D6AF6"/>
    <w:rsid w:val="003E01C8"/>
    <w:rsid w:val="003E0BAD"/>
    <w:rsid w:val="003E26F4"/>
    <w:rsid w:val="003F2C5D"/>
    <w:rsid w:val="003F47F3"/>
    <w:rsid w:val="00403BD4"/>
    <w:rsid w:val="00407830"/>
    <w:rsid w:val="004102ED"/>
    <w:rsid w:val="00410645"/>
    <w:rsid w:val="00412DC3"/>
    <w:rsid w:val="00413CBE"/>
    <w:rsid w:val="00422A48"/>
    <w:rsid w:val="00423035"/>
    <w:rsid w:val="0042415C"/>
    <w:rsid w:val="00431108"/>
    <w:rsid w:val="004320CD"/>
    <w:rsid w:val="00436F67"/>
    <w:rsid w:val="00440196"/>
    <w:rsid w:val="00452541"/>
    <w:rsid w:val="00461339"/>
    <w:rsid w:val="00466513"/>
    <w:rsid w:val="0047016D"/>
    <w:rsid w:val="0047267E"/>
    <w:rsid w:val="00473836"/>
    <w:rsid w:val="00473863"/>
    <w:rsid w:val="004808D5"/>
    <w:rsid w:val="004822DD"/>
    <w:rsid w:val="00482D2F"/>
    <w:rsid w:val="00491108"/>
    <w:rsid w:val="00491B27"/>
    <w:rsid w:val="00491FEA"/>
    <w:rsid w:val="00492BDD"/>
    <w:rsid w:val="004A018E"/>
    <w:rsid w:val="004A6AF1"/>
    <w:rsid w:val="004B2BB5"/>
    <w:rsid w:val="004B5AB4"/>
    <w:rsid w:val="004B6EE4"/>
    <w:rsid w:val="004C4BEF"/>
    <w:rsid w:val="004C7888"/>
    <w:rsid w:val="004D3401"/>
    <w:rsid w:val="004E16A0"/>
    <w:rsid w:val="004E31A3"/>
    <w:rsid w:val="004E3585"/>
    <w:rsid w:val="004E6929"/>
    <w:rsid w:val="004F08DC"/>
    <w:rsid w:val="004F1526"/>
    <w:rsid w:val="004F34CB"/>
    <w:rsid w:val="004F62C0"/>
    <w:rsid w:val="004F7150"/>
    <w:rsid w:val="005026A5"/>
    <w:rsid w:val="005034D9"/>
    <w:rsid w:val="00514CB2"/>
    <w:rsid w:val="00521321"/>
    <w:rsid w:val="00522721"/>
    <w:rsid w:val="00524FD8"/>
    <w:rsid w:val="0052758C"/>
    <w:rsid w:val="00531221"/>
    <w:rsid w:val="00533233"/>
    <w:rsid w:val="00535BC6"/>
    <w:rsid w:val="005421C7"/>
    <w:rsid w:val="0054377B"/>
    <w:rsid w:val="005441FD"/>
    <w:rsid w:val="00544BDF"/>
    <w:rsid w:val="0054629A"/>
    <w:rsid w:val="00552CDF"/>
    <w:rsid w:val="00554668"/>
    <w:rsid w:val="00554D23"/>
    <w:rsid w:val="00556901"/>
    <w:rsid w:val="00560205"/>
    <w:rsid w:val="005635FE"/>
    <w:rsid w:val="0056523B"/>
    <w:rsid w:val="00572085"/>
    <w:rsid w:val="00573B55"/>
    <w:rsid w:val="005748B8"/>
    <w:rsid w:val="005750BA"/>
    <w:rsid w:val="00582DD1"/>
    <w:rsid w:val="00593EA1"/>
    <w:rsid w:val="005A38C2"/>
    <w:rsid w:val="005A5391"/>
    <w:rsid w:val="005B165D"/>
    <w:rsid w:val="005B1962"/>
    <w:rsid w:val="005B20A6"/>
    <w:rsid w:val="005B5709"/>
    <w:rsid w:val="005B5CE5"/>
    <w:rsid w:val="005C39F7"/>
    <w:rsid w:val="005C76A6"/>
    <w:rsid w:val="005D222D"/>
    <w:rsid w:val="005D27D5"/>
    <w:rsid w:val="005D4012"/>
    <w:rsid w:val="005D6F7F"/>
    <w:rsid w:val="005D7726"/>
    <w:rsid w:val="005E17DE"/>
    <w:rsid w:val="005E49D3"/>
    <w:rsid w:val="005E5AB0"/>
    <w:rsid w:val="005E66A6"/>
    <w:rsid w:val="005F145D"/>
    <w:rsid w:val="005F2336"/>
    <w:rsid w:val="005F77D7"/>
    <w:rsid w:val="00601AEE"/>
    <w:rsid w:val="00601ED4"/>
    <w:rsid w:val="00603E34"/>
    <w:rsid w:val="006069D1"/>
    <w:rsid w:val="00612771"/>
    <w:rsid w:val="00612BAE"/>
    <w:rsid w:val="006149D8"/>
    <w:rsid w:val="0061545D"/>
    <w:rsid w:val="00620B6E"/>
    <w:rsid w:val="0062276E"/>
    <w:rsid w:val="00630410"/>
    <w:rsid w:val="0063056C"/>
    <w:rsid w:val="00632510"/>
    <w:rsid w:val="0063798C"/>
    <w:rsid w:val="00637F2F"/>
    <w:rsid w:val="00642212"/>
    <w:rsid w:val="00642332"/>
    <w:rsid w:val="00642951"/>
    <w:rsid w:val="0065247D"/>
    <w:rsid w:val="00652F5F"/>
    <w:rsid w:val="00655F9E"/>
    <w:rsid w:val="006641A1"/>
    <w:rsid w:val="00670069"/>
    <w:rsid w:val="00672834"/>
    <w:rsid w:val="00680066"/>
    <w:rsid w:val="006805FE"/>
    <w:rsid w:val="00683B7F"/>
    <w:rsid w:val="00684C0D"/>
    <w:rsid w:val="00686884"/>
    <w:rsid w:val="00690010"/>
    <w:rsid w:val="00694914"/>
    <w:rsid w:val="006A2443"/>
    <w:rsid w:val="006A5183"/>
    <w:rsid w:val="006B5E30"/>
    <w:rsid w:val="006B6DC7"/>
    <w:rsid w:val="006C4941"/>
    <w:rsid w:val="006C4FE5"/>
    <w:rsid w:val="006C704B"/>
    <w:rsid w:val="006D56C1"/>
    <w:rsid w:val="006D6684"/>
    <w:rsid w:val="006D721E"/>
    <w:rsid w:val="006E00C6"/>
    <w:rsid w:val="006E7C1D"/>
    <w:rsid w:val="006F132E"/>
    <w:rsid w:val="00700C3B"/>
    <w:rsid w:val="00702892"/>
    <w:rsid w:val="00705C7F"/>
    <w:rsid w:val="007126E1"/>
    <w:rsid w:val="007130D2"/>
    <w:rsid w:val="007135C8"/>
    <w:rsid w:val="00724413"/>
    <w:rsid w:val="00725A42"/>
    <w:rsid w:val="00732E88"/>
    <w:rsid w:val="00734BE7"/>
    <w:rsid w:val="00736492"/>
    <w:rsid w:val="007451A6"/>
    <w:rsid w:val="00747948"/>
    <w:rsid w:val="0075209D"/>
    <w:rsid w:val="00753370"/>
    <w:rsid w:val="00753854"/>
    <w:rsid w:val="00755BB1"/>
    <w:rsid w:val="0075663B"/>
    <w:rsid w:val="00764646"/>
    <w:rsid w:val="007700F8"/>
    <w:rsid w:val="00773B70"/>
    <w:rsid w:val="007759DC"/>
    <w:rsid w:val="007808A7"/>
    <w:rsid w:val="00782890"/>
    <w:rsid w:val="00793351"/>
    <w:rsid w:val="007A0B49"/>
    <w:rsid w:val="007A19FD"/>
    <w:rsid w:val="007A3330"/>
    <w:rsid w:val="007A336D"/>
    <w:rsid w:val="007B0361"/>
    <w:rsid w:val="007B0AEA"/>
    <w:rsid w:val="007B2F33"/>
    <w:rsid w:val="007B4378"/>
    <w:rsid w:val="007B5805"/>
    <w:rsid w:val="007B5E4B"/>
    <w:rsid w:val="007C1E3E"/>
    <w:rsid w:val="007C4022"/>
    <w:rsid w:val="007C496F"/>
    <w:rsid w:val="007C74BC"/>
    <w:rsid w:val="007D1078"/>
    <w:rsid w:val="007D1A1D"/>
    <w:rsid w:val="007D6C40"/>
    <w:rsid w:val="007D6C42"/>
    <w:rsid w:val="007E072D"/>
    <w:rsid w:val="007F1C28"/>
    <w:rsid w:val="007F33D7"/>
    <w:rsid w:val="007F54B2"/>
    <w:rsid w:val="007F6F61"/>
    <w:rsid w:val="007F7177"/>
    <w:rsid w:val="007F7C26"/>
    <w:rsid w:val="008022CA"/>
    <w:rsid w:val="008048CF"/>
    <w:rsid w:val="00805794"/>
    <w:rsid w:val="00811C00"/>
    <w:rsid w:val="00812593"/>
    <w:rsid w:val="00813143"/>
    <w:rsid w:val="0081356C"/>
    <w:rsid w:val="008178FD"/>
    <w:rsid w:val="00817CFB"/>
    <w:rsid w:val="00825BBF"/>
    <w:rsid w:val="008364C7"/>
    <w:rsid w:val="00837888"/>
    <w:rsid w:val="00840C2A"/>
    <w:rsid w:val="00855FCC"/>
    <w:rsid w:val="008607B6"/>
    <w:rsid w:val="00862295"/>
    <w:rsid w:val="00863F5B"/>
    <w:rsid w:val="008652BA"/>
    <w:rsid w:val="00866A2C"/>
    <w:rsid w:val="00870D7A"/>
    <w:rsid w:val="00874FC4"/>
    <w:rsid w:val="008808FA"/>
    <w:rsid w:val="00880D36"/>
    <w:rsid w:val="008823E5"/>
    <w:rsid w:val="00883B0C"/>
    <w:rsid w:val="00884A8F"/>
    <w:rsid w:val="0088605D"/>
    <w:rsid w:val="00886A41"/>
    <w:rsid w:val="00892FD9"/>
    <w:rsid w:val="00895BBB"/>
    <w:rsid w:val="00895F11"/>
    <w:rsid w:val="008A1632"/>
    <w:rsid w:val="008A2600"/>
    <w:rsid w:val="008B11AB"/>
    <w:rsid w:val="008B4488"/>
    <w:rsid w:val="008C24F8"/>
    <w:rsid w:val="008D5E75"/>
    <w:rsid w:val="008D659E"/>
    <w:rsid w:val="008E334D"/>
    <w:rsid w:val="008E3F8D"/>
    <w:rsid w:val="008F1CF2"/>
    <w:rsid w:val="008F56C9"/>
    <w:rsid w:val="009030B9"/>
    <w:rsid w:val="00907B2B"/>
    <w:rsid w:val="00911560"/>
    <w:rsid w:val="00917B1A"/>
    <w:rsid w:val="00920B54"/>
    <w:rsid w:val="009222FD"/>
    <w:rsid w:val="00923B52"/>
    <w:rsid w:val="009259E6"/>
    <w:rsid w:val="00927B82"/>
    <w:rsid w:val="0093090E"/>
    <w:rsid w:val="00932624"/>
    <w:rsid w:val="009346CF"/>
    <w:rsid w:val="009354AB"/>
    <w:rsid w:val="0093734C"/>
    <w:rsid w:val="009378E8"/>
    <w:rsid w:val="009438E4"/>
    <w:rsid w:val="00944420"/>
    <w:rsid w:val="00946802"/>
    <w:rsid w:val="00947965"/>
    <w:rsid w:val="00953E74"/>
    <w:rsid w:val="009607CE"/>
    <w:rsid w:val="00960B05"/>
    <w:rsid w:val="009623E8"/>
    <w:rsid w:val="009639FF"/>
    <w:rsid w:val="009712AE"/>
    <w:rsid w:val="009761B4"/>
    <w:rsid w:val="00980C79"/>
    <w:rsid w:val="0098352D"/>
    <w:rsid w:val="009845C6"/>
    <w:rsid w:val="00985098"/>
    <w:rsid w:val="009862AD"/>
    <w:rsid w:val="00986ABA"/>
    <w:rsid w:val="009931CC"/>
    <w:rsid w:val="009945B1"/>
    <w:rsid w:val="0099730A"/>
    <w:rsid w:val="009A0E07"/>
    <w:rsid w:val="009A262E"/>
    <w:rsid w:val="009A50C9"/>
    <w:rsid w:val="009B3517"/>
    <w:rsid w:val="009B4091"/>
    <w:rsid w:val="009B57C8"/>
    <w:rsid w:val="009C71F7"/>
    <w:rsid w:val="009D261C"/>
    <w:rsid w:val="009D3219"/>
    <w:rsid w:val="009D66BD"/>
    <w:rsid w:val="009E3690"/>
    <w:rsid w:val="009E6FD3"/>
    <w:rsid w:val="009E790F"/>
    <w:rsid w:val="009F07CD"/>
    <w:rsid w:val="009F3E5D"/>
    <w:rsid w:val="009F6292"/>
    <w:rsid w:val="009F7E44"/>
    <w:rsid w:val="00A017BF"/>
    <w:rsid w:val="00A0374F"/>
    <w:rsid w:val="00A04AD9"/>
    <w:rsid w:val="00A121EE"/>
    <w:rsid w:val="00A12714"/>
    <w:rsid w:val="00A14341"/>
    <w:rsid w:val="00A22CD2"/>
    <w:rsid w:val="00A33049"/>
    <w:rsid w:val="00A4129A"/>
    <w:rsid w:val="00A43896"/>
    <w:rsid w:val="00A43C8B"/>
    <w:rsid w:val="00A4792E"/>
    <w:rsid w:val="00A55882"/>
    <w:rsid w:val="00A622EF"/>
    <w:rsid w:val="00A6569C"/>
    <w:rsid w:val="00A66A62"/>
    <w:rsid w:val="00A73715"/>
    <w:rsid w:val="00A75D54"/>
    <w:rsid w:val="00A76C86"/>
    <w:rsid w:val="00A76E1D"/>
    <w:rsid w:val="00A811EA"/>
    <w:rsid w:val="00A81D3A"/>
    <w:rsid w:val="00A8711E"/>
    <w:rsid w:val="00A92CE9"/>
    <w:rsid w:val="00AA3446"/>
    <w:rsid w:val="00AA6AC4"/>
    <w:rsid w:val="00AC42DF"/>
    <w:rsid w:val="00AC7157"/>
    <w:rsid w:val="00AD5719"/>
    <w:rsid w:val="00AD609D"/>
    <w:rsid w:val="00AD72C8"/>
    <w:rsid w:val="00AE38F7"/>
    <w:rsid w:val="00AE4250"/>
    <w:rsid w:val="00AE548B"/>
    <w:rsid w:val="00AE6130"/>
    <w:rsid w:val="00AE782B"/>
    <w:rsid w:val="00AE798B"/>
    <w:rsid w:val="00AF1447"/>
    <w:rsid w:val="00AF55B8"/>
    <w:rsid w:val="00AF6091"/>
    <w:rsid w:val="00B00944"/>
    <w:rsid w:val="00B0094F"/>
    <w:rsid w:val="00B02B2C"/>
    <w:rsid w:val="00B11E2B"/>
    <w:rsid w:val="00B14EB6"/>
    <w:rsid w:val="00B2238E"/>
    <w:rsid w:val="00B313C1"/>
    <w:rsid w:val="00B3636E"/>
    <w:rsid w:val="00B43129"/>
    <w:rsid w:val="00B4354E"/>
    <w:rsid w:val="00B46A2B"/>
    <w:rsid w:val="00B50ACE"/>
    <w:rsid w:val="00B5206B"/>
    <w:rsid w:val="00B54509"/>
    <w:rsid w:val="00B55D25"/>
    <w:rsid w:val="00B61C70"/>
    <w:rsid w:val="00B65825"/>
    <w:rsid w:val="00B669B6"/>
    <w:rsid w:val="00B70EAC"/>
    <w:rsid w:val="00B75452"/>
    <w:rsid w:val="00B77BA7"/>
    <w:rsid w:val="00B82CFC"/>
    <w:rsid w:val="00B979B0"/>
    <w:rsid w:val="00BA3528"/>
    <w:rsid w:val="00BA5CD0"/>
    <w:rsid w:val="00BA7170"/>
    <w:rsid w:val="00BA72DA"/>
    <w:rsid w:val="00BB2995"/>
    <w:rsid w:val="00BB29E1"/>
    <w:rsid w:val="00BB5B12"/>
    <w:rsid w:val="00BC0268"/>
    <w:rsid w:val="00BC109C"/>
    <w:rsid w:val="00BC3FE6"/>
    <w:rsid w:val="00BC6219"/>
    <w:rsid w:val="00BC6FE6"/>
    <w:rsid w:val="00BC70CD"/>
    <w:rsid w:val="00BD36B0"/>
    <w:rsid w:val="00BD5B8D"/>
    <w:rsid w:val="00BE2D6B"/>
    <w:rsid w:val="00BF0D08"/>
    <w:rsid w:val="00BF30A9"/>
    <w:rsid w:val="00BF4A66"/>
    <w:rsid w:val="00BF6557"/>
    <w:rsid w:val="00BF6E2D"/>
    <w:rsid w:val="00BF7A3A"/>
    <w:rsid w:val="00C07010"/>
    <w:rsid w:val="00C158EF"/>
    <w:rsid w:val="00C177CF"/>
    <w:rsid w:val="00C22C4B"/>
    <w:rsid w:val="00C233E4"/>
    <w:rsid w:val="00C2442E"/>
    <w:rsid w:val="00C26E0F"/>
    <w:rsid w:val="00C279D8"/>
    <w:rsid w:val="00C312F6"/>
    <w:rsid w:val="00C31AAB"/>
    <w:rsid w:val="00C323D7"/>
    <w:rsid w:val="00C33338"/>
    <w:rsid w:val="00C34E13"/>
    <w:rsid w:val="00C34ED6"/>
    <w:rsid w:val="00C35260"/>
    <w:rsid w:val="00C35AC8"/>
    <w:rsid w:val="00C43FA3"/>
    <w:rsid w:val="00C56ECE"/>
    <w:rsid w:val="00C604BE"/>
    <w:rsid w:val="00C63C9C"/>
    <w:rsid w:val="00C640D7"/>
    <w:rsid w:val="00C671DD"/>
    <w:rsid w:val="00C70BF5"/>
    <w:rsid w:val="00C730B8"/>
    <w:rsid w:val="00C74026"/>
    <w:rsid w:val="00C764A9"/>
    <w:rsid w:val="00C76734"/>
    <w:rsid w:val="00C77892"/>
    <w:rsid w:val="00C909A6"/>
    <w:rsid w:val="00C93D8A"/>
    <w:rsid w:val="00C971B5"/>
    <w:rsid w:val="00CA0C4F"/>
    <w:rsid w:val="00CA1088"/>
    <w:rsid w:val="00CA3A01"/>
    <w:rsid w:val="00CA6E52"/>
    <w:rsid w:val="00CA6EFA"/>
    <w:rsid w:val="00CB160E"/>
    <w:rsid w:val="00CB23BB"/>
    <w:rsid w:val="00CB276E"/>
    <w:rsid w:val="00CB3A54"/>
    <w:rsid w:val="00CB46FF"/>
    <w:rsid w:val="00CB4B30"/>
    <w:rsid w:val="00CB642B"/>
    <w:rsid w:val="00CB7D7A"/>
    <w:rsid w:val="00CC24AC"/>
    <w:rsid w:val="00CC41ED"/>
    <w:rsid w:val="00CC69B0"/>
    <w:rsid w:val="00CC7C0A"/>
    <w:rsid w:val="00CF4EB2"/>
    <w:rsid w:val="00CF602D"/>
    <w:rsid w:val="00D0033D"/>
    <w:rsid w:val="00D01431"/>
    <w:rsid w:val="00D02E3F"/>
    <w:rsid w:val="00D0394D"/>
    <w:rsid w:val="00D04F9F"/>
    <w:rsid w:val="00D17C72"/>
    <w:rsid w:val="00D241A1"/>
    <w:rsid w:val="00D27BC2"/>
    <w:rsid w:val="00D31013"/>
    <w:rsid w:val="00D33AAA"/>
    <w:rsid w:val="00D34BD3"/>
    <w:rsid w:val="00D358C1"/>
    <w:rsid w:val="00D40F86"/>
    <w:rsid w:val="00D472AD"/>
    <w:rsid w:val="00D478CB"/>
    <w:rsid w:val="00D57368"/>
    <w:rsid w:val="00D61B8A"/>
    <w:rsid w:val="00D7095E"/>
    <w:rsid w:val="00D82800"/>
    <w:rsid w:val="00D83A66"/>
    <w:rsid w:val="00D83DB9"/>
    <w:rsid w:val="00D84E77"/>
    <w:rsid w:val="00D908C0"/>
    <w:rsid w:val="00D91071"/>
    <w:rsid w:val="00D929AC"/>
    <w:rsid w:val="00DA00AF"/>
    <w:rsid w:val="00DA2181"/>
    <w:rsid w:val="00DA44AF"/>
    <w:rsid w:val="00DA4F0A"/>
    <w:rsid w:val="00DA4F6C"/>
    <w:rsid w:val="00DA5B21"/>
    <w:rsid w:val="00DB3D89"/>
    <w:rsid w:val="00DB69F2"/>
    <w:rsid w:val="00DC0A23"/>
    <w:rsid w:val="00DC71D1"/>
    <w:rsid w:val="00DC7A0A"/>
    <w:rsid w:val="00DF2202"/>
    <w:rsid w:val="00E02EC1"/>
    <w:rsid w:val="00E1765A"/>
    <w:rsid w:val="00E226F5"/>
    <w:rsid w:val="00E23CBE"/>
    <w:rsid w:val="00E25B17"/>
    <w:rsid w:val="00E3194A"/>
    <w:rsid w:val="00E328E3"/>
    <w:rsid w:val="00E45EC8"/>
    <w:rsid w:val="00E478E2"/>
    <w:rsid w:val="00E50E29"/>
    <w:rsid w:val="00E55D2E"/>
    <w:rsid w:val="00E56CCD"/>
    <w:rsid w:val="00E60D23"/>
    <w:rsid w:val="00E73E6E"/>
    <w:rsid w:val="00E8690B"/>
    <w:rsid w:val="00E90C10"/>
    <w:rsid w:val="00E90DD4"/>
    <w:rsid w:val="00E91412"/>
    <w:rsid w:val="00E924B5"/>
    <w:rsid w:val="00E95A1B"/>
    <w:rsid w:val="00EA11B5"/>
    <w:rsid w:val="00EA1C54"/>
    <w:rsid w:val="00ED504E"/>
    <w:rsid w:val="00ED5C37"/>
    <w:rsid w:val="00ED731E"/>
    <w:rsid w:val="00EE3019"/>
    <w:rsid w:val="00EE31D6"/>
    <w:rsid w:val="00EE397C"/>
    <w:rsid w:val="00EE6070"/>
    <w:rsid w:val="00EE695A"/>
    <w:rsid w:val="00EF4672"/>
    <w:rsid w:val="00EF46DE"/>
    <w:rsid w:val="00F12123"/>
    <w:rsid w:val="00F1367C"/>
    <w:rsid w:val="00F16D81"/>
    <w:rsid w:val="00F21BD2"/>
    <w:rsid w:val="00F21F74"/>
    <w:rsid w:val="00F2315F"/>
    <w:rsid w:val="00F23881"/>
    <w:rsid w:val="00F243C5"/>
    <w:rsid w:val="00F263FF"/>
    <w:rsid w:val="00F41F6B"/>
    <w:rsid w:val="00F42826"/>
    <w:rsid w:val="00F44F64"/>
    <w:rsid w:val="00F5088F"/>
    <w:rsid w:val="00F5264E"/>
    <w:rsid w:val="00F52F84"/>
    <w:rsid w:val="00F63B10"/>
    <w:rsid w:val="00F64990"/>
    <w:rsid w:val="00F64B6E"/>
    <w:rsid w:val="00F72981"/>
    <w:rsid w:val="00F748C0"/>
    <w:rsid w:val="00F76AF2"/>
    <w:rsid w:val="00F8033C"/>
    <w:rsid w:val="00F80528"/>
    <w:rsid w:val="00F91DF0"/>
    <w:rsid w:val="00F954C1"/>
    <w:rsid w:val="00FA3B8A"/>
    <w:rsid w:val="00FA3C37"/>
    <w:rsid w:val="00FA552D"/>
    <w:rsid w:val="00FA5C42"/>
    <w:rsid w:val="00FB259E"/>
    <w:rsid w:val="00FD5C48"/>
    <w:rsid w:val="00FD7133"/>
    <w:rsid w:val="00FE5519"/>
    <w:rsid w:val="00FE5747"/>
    <w:rsid w:val="00FE5A33"/>
    <w:rsid w:val="00FF0834"/>
    <w:rsid w:val="00FF2CB8"/>
    <w:rsid w:val="00FF4FE6"/>
    <w:rsid w:val="00FF731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431"/>
    <w:pPr>
      <w:spacing w:after="2" w:line="237" w:lineRule="auto"/>
      <w:ind w:left="422" w:hanging="437"/>
    </w:pPr>
    <w:rPr>
      <w:rFonts w:ascii="Arial" w:eastAsia="Arial" w:hAnsi="Arial" w:cs="Arial"/>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D01431"/>
    <w:rPr>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BB5B12"/>
    <w:pPr>
      <w:ind w:left="720"/>
      <w:contextualSpacing/>
    </w:pPr>
  </w:style>
  <w:style w:type="paragraph" w:styleId="BalloonText">
    <w:name w:val="Balloon Text"/>
    <w:basedOn w:val="Normal"/>
    <w:link w:val="BalloonTextChar"/>
    <w:uiPriority w:val="99"/>
    <w:semiHidden/>
    <w:unhideWhenUsed/>
    <w:rsid w:val="00181A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81AAB"/>
    <w:rPr>
      <w:rFonts w:ascii="Tahoma" w:eastAsia="Arial" w:hAnsi="Tahoma" w:cs="Tahoma"/>
      <w:color w:val="000000"/>
      <w:sz w:val="16"/>
      <w:szCs w:val="16"/>
    </w:rPr>
  </w:style>
  <w:style w:type="paragraph" w:customStyle="1" w:styleId="Default">
    <w:name w:val="Default"/>
    <w:rsid w:val="00240336"/>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5C39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39F7"/>
    <w:rPr>
      <w:rFonts w:ascii="Arial" w:eastAsia="Arial" w:hAnsi="Arial" w:cs="Arial"/>
      <w:color w:val="000000"/>
      <w:sz w:val="24"/>
      <w:szCs w:val="22"/>
    </w:rPr>
  </w:style>
  <w:style w:type="character" w:styleId="CommentReference">
    <w:name w:val="annotation reference"/>
    <w:basedOn w:val="DefaultParagraphFont"/>
    <w:uiPriority w:val="99"/>
    <w:semiHidden/>
    <w:unhideWhenUsed/>
    <w:rsid w:val="00EF4672"/>
    <w:rPr>
      <w:sz w:val="16"/>
      <w:szCs w:val="16"/>
    </w:rPr>
  </w:style>
  <w:style w:type="paragraph" w:styleId="CommentText">
    <w:name w:val="annotation text"/>
    <w:basedOn w:val="Normal"/>
    <w:link w:val="CommentTextChar"/>
    <w:uiPriority w:val="99"/>
    <w:semiHidden/>
    <w:unhideWhenUsed/>
    <w:rsid w:val="00EF4672"/>
    <w:pPr>
      <w:spacing w:line="240" w:lineRule="auto"/>
    </w:pPr>
    <w:rPr>
      <w:sz w:val="20"/>
      <w:szCs w:val="20"/>
    </w:rPr>
  </w:style>
  <w:style w:type="character" w:customStyle="1" w:styleId="CommentTextChar">
    <w:name w:val="Comment Text Char"/>
    <w:basedOn w:val="DefaultParagraphFont"/>
    <w:link w:val="CommentText"/>
    <w:uiPriority w:val="99"/>
    <w:semiHidden/>
    <w:rsid w:val="00EF4672"/>
    <w:rPr>
      <w:rFonts w:ascii="Arial" w:eastAsia="Arial" w:hAnsi="Arial" w:cs="Arial"/>
      <w:color w:val="000000"/>
    </w:rPr>
  </w:style>
  <w:style w:type="paragraph" w:styleId="CommentSubject">
    <w:name w:val="annotation subject"/>
    <w:basedOn w:val="CommentText"/>
    <w:next w:val="CommentText"/>
    <w:link w:val="CommentSubjectChar"/>
    <w:uiPriority w:val="99"/>
    <w:semiHidden/>
    <w:unhideWhenUsed/>
    <w:rsid w:val="00EF4672"/>
    <w:rPr>
      <w:b/>
      <w:bCs/>
    </w:rPr>
  </w:style>
  <w:style w:type="character" w:customStyle="1" w:styleId="CommentSubjectChar">
    <w:name w:val="Comment Subject Char"/>
    <w:basedOn w:val="CommentTextChar"/>
    <w:link w:val="CommentSubject"/>
    <w:uiPriority w:val="99"/>
    <w:semiHidden/>
    <w:rsid w:val="00EF4672"/>
    <w:rPr>
      <w:b/>
      <w:bCs/>
    </w:rPr>
  </w:style>
</w:styles>
</file>

<file path=word/webSettings.xml><?xml version="1.0" encoding="utf-8"?>
<w:webSettings xmlns:r="http://schemas.openxmlformats.org/officeDocument/2006/relationships" xmlns:w="http://schemas.openxmlformats.org/wordprocessingml/2006/main">
  <w:divs>
    <w:div w:id="439187404">
      <w:bodyDiv w:val="1"/>
      <w:marLeft w:val="0"/>
      <w:marRight w:val="0"/>
      <w:marTop w:val="0"/>
      <w:marBottom w:val="0"/>
      <w:divBdr>
        <w:top w:val="none" w:sz="0" w:space="0" w:color="auto"/>
        <w:left w:val="none" w:sz="0" w:space="0" w:color="auto"/>
        <w:bottom w:val="none" w:sz="0" w:space="0" w:color="auto"/>
        <w:right w:val="none" w:sz="0" w:space="0" w:color="auto"/>
      </w:divBdr>
    </w:div>
    <w:div w:id="1214195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9E15-042F-48E8-BE15-E2EB1654A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1373</Words>
  <Characters>7828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9183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 Irwin</dc:creator>
  <cp:lastModifiedBy>Briege Tyrie</cp:lastModifiedBy>
  <cp:revision>7</cp:revision>
  <cp:lastPrinted>2014-10-14T13:52:00Z</cp:lastPrinted>
  <dcterms:created xsi:type="dcterms:W3CDTF">2014-10-06T15:30:00Z</dcterms:created>
  <dcterms:modified xsi:type="dcterms:W3CDTF">2014-10-27T10:17:00Z</dcterms:modified>
</cp:coreProperties>
</file>