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AB" w:rsidRPr="00D90E53" w:rsidRDefault="00F93276" w:rsidP="00B41129">
      <w:pPr>
        <w:jc w:val="both"/>
      </w:pPr>
      <w:r>
        <w:rPr>
          <w:noProof/>
          <w:lang w:eastAsia="en-GB"/>
        </w:rPr>
        <w:drawing>
          <wp:inline distT="0" distB="0" distL="0" distR="0">
            <wp:extent cx="4000500" cy="9906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7" cstate="print"/>
                    <a:srcRect/>
                    <a:stretch>
                      <a:fillRect/>
                    </a:stretch>
                  </pic:blipFill>
                  <pic:spPr bwMode="auto">
                    <a:xfrm>
                      <a:off x="0" y="0"/>
                      <a:ext cx="4000500" cy="990600"/>
                    </a:xfrm>
                    <a:prstGeom prst="rect">
                      <a:avLst/>
                    </a:prstGeom>
                    <a:noFill/>
                    <a:ln w="9525">
                      <a:noFill/>
                      <a:miter lim="800000"/>
                      <a:headEnd/>
                      <a:tailEnd/>
                    </a:ln>
                  </pic:spPr>
                </pic:pic>
              </a:graphicData>
            </a:graphic>
          </wp:inline>
        </w:drawing>
      </w:r>
    </w:p>
    <w:p w:rsidR="000A08AB" w:rsidRPr="00D90E53" w:rsidRDefault="000A08AB" w:rsidP="00B41129">
      <w:pPr>
        <w:jc w:val="both"/>
      </w:pPr>
    </w:p>
    <w:p w:rsidR="000A08AB" w:rsidRPr="00D90E53" w:rsidRDefault="000A08AB" w:rsidP="00B41129">
      <w:pPr>
        <w:jc w:val="both"/>
        <w:rPr>
          <w:sz w:val="48"/>
          <w:szCs w:val="48"/>
        </w:rPr>
      </w:pPr>
    </w:p>
    <w:p w:rsidR="000A08AB" w:rsidRPr="00D90E53" w:rsidRDefault="000A08AB" w:rsidP="00B41129">
      <w:pPr>
        <w:jc w:val="both"/>
        <w:rPr>
          <w:sz w:val="48"/>
          <w:szCs w:val="48"/>
        </w:rPr>
      </w:pPr>
    </w:p>
    <w:p w:rsidR="000A08AB" w:rsidRPr="00D90E53" w:rsidRDefault="000A08AB" w:rsidP="00B41129">
      <w:pPr>
        <w:jc w:val="both"/>
        <w:rPr>
          <w:sz w:val="48"/>
          <w:szCs w:val="48"/>
        </w:rPr>
      </w:pPr>
    </w:p>
    <w:p w:rsidR="00714E52" w:rsidRPr="00D90E53" w:rsidRDefault="00714E52" w:rsidP="00B41129">
      <w:pPr>
        <w:jc w:val="both"/>
        <w:rPr>
          <w:sz w:val="48"/>
          <w:szCs w:val="48"/>
        </w:rPr>
      </w:pPr>
    </w:p>
    <w:p w:rsidR="00714E52" w:rsidRPr="00D90E53" w:rsidRDefault="00714E52" w:rsidP="00B41129">
      <w:pPr>
        <w:jc w:val="both"/>
        <w:rPr>
          <w:sz w:val="48"/>
          <w:szCs w:val="48"/>
        </w:rPr>
      </w:pPr>
    </w:p>
    <w:p w:rsidR="00714E52" w:rsidRPr="00D90E53" w:rsidRDefault="00714E52" w:rsidP="00B41129">
      <w:pPr>
        <w:jc w:val="both"/>
        <w:rPr>
          <w:sz w:val="48"/>
          <w:szCs w:val="48"/>
        </w:rPr>
      </w:pPr>
    </w:p>
    <w:p w:rsidR="00453214" w:rsidRPr="00D90E53" w:rsidRDefault="00453214" w:rsidP="00C30932">
      <w:pPr>
        <w:jc w:val="center"/>
        <w:outlineLvl w:val="0"/>
        <w:rPr>
          <w:b/>
          <w:sz w:val="64"/>
          <w:szCs w:val="64"/>
        </w:rPr>
      </w:pPr>
      <w:bookmarkStart w:id="0" w:name="_Toc184009272"/>
      <w:r w:rsidRPr="00D90E53">
        <w:rPr>
          <w:b/>
          <w:sz w:val="64"/>
          <w:szCs w:val="64"/>
        </w:rPr>
        <w:t>NIE Supply Price Control</w:t>
      </w:r>
      <w:bookmarkEnd w:id="0"/>
    </w:p>
    <w:p w:rsidR="000A08AB" w:rsidRPr="00D90E53" w:rsidRDefault="008465D2" w:rsidP="00C30932">
      <w:pPr>
        <w:jc w:val="center"/>
        <w:outlineLvl w:val="0"/>
        <w:rPr>
          <w:b/>
          <w:sz w:val="64"/>
          <w:szCs w:val="64"/>
        </w:rPr>
      </w:pPr>
      <w:bookmarkStart w:id="1" w:name="_Toc184009273"/>
      <w:r w:rsidRPr="00D90E53">
        <w:rPr>
          <w:b/>
          <w:sz w:val="64"/>
          <w:szCs w:val="64"/>
        </w:rPr>
        <w:t>2007</w:t>
      </w:r>
      <w:r w:rsidR="00453214" w:rsidRPr="00D90E53">
        <w:rPr>
          <w:b/>
          <w:sz w:val="64"/>
          <w:szCs w:val="64"/>
        </w:rPr>
        <w:t xml:space="preserve"> - 2009</w:t>
      </w:r>
      <w:bookmarkEnd w:id="1"/>
    </w:p>
    <w:p w:rsidR="000A08AB" w:rsidRPr="00D90E53" w:rsidRDefault="000A08AB" w:rsidP="00B41129">
      <w:pPr>
        <w:jc w:val="both"/>
        <w:rPr>
          <w:b/>
          <w:sz w:val="64"/>
          <w:szCs w:val="64"/>
        </w:rPr>
      </w:pPr>
    </w:p>
    <w:p w:rsidR="000A08AB" w:rsidRPr="00D90E53" w:rsidRDefault="000A08AB" w:rsidP="00B41129">
      <w:pPr>
        <w:jc w:val="both"/>
        <w:rPr>
          <w:b/>
          <w:sz w:val="64"/>
          <w:szCs w:val="64"/>
        </w:rPr>
      </w:pPr>
    </w:p>
    <w:p w:rsidR="000A08AB" w:rsidRPr="00D90E53" w:rsidRDefault="00453214" w:rsidP="00C30932">
      <w:pPr>
        <w:jc w:val="center"/>
        <w:outlineLvl w:val="0"/>
        <w:rPr>
          <w:b/>
          <w:sz w:val="64"/>
          <w:szCs w:val="64"/>
        </w:rPr>
      </w:pPr>
      <w:bookmarkStart w:id="2" w:name="_Toc184009274"/>
      <w:r w:rsidRPr="00D90E53">
        <w:rPr>
          <w:b/>
          <w:sz w:val="64"/>
          <w:szCs w:val="64"/>
        </w:rPr>
        <w:t>Decision Paper</w:t>
      </w:r>
      <w:bookmarkEnd w:id="2"/>
    </w:p>
    <w:p w:rsidR="00E07B09" w:rsidRPr="00D90E53" w:rsidRDefault="00E07B09" w:rsidP="00B41129">
      <w:pPr>
        <w:jc w:val="both"/>
        <w:rPr>
          <w:b/>
          <w:sz w:val="64"/>
          <w:szCs w:val="64"/>
        </w:rPr>
      </w:pPr>
    </w:p>
    <w:p w:rsidR="00E07B09" w:rsidRPr="00D90E53" w:rsidRDefault="00E07B09" w:rsidP="00B41129">
      <w:pPr>
        <w:jc w:val="both"/>
        <w:rPr>
          <w:b/>
          <w:sz w:val="64"/>
          <w:szCs w:val="64"/>
        </w:rPr>
      </w:pPr>
    </w:p>
    <w:p w:rsidR="00E07B09" w:rsidRPr="00D90E53" w:rsidRDefault="00E07B09" w:rsidP="00B41129">
      <w:pPr>
        <w:jc w:val="both"/>
        <w:rPr>
          <w:b/>
          <w:sz w:val="64"/>
          <w:szCs w:val="64"/>
        </w:rPr>
      </w:pPr>
    </w:p>
    <w:p w:rsidR="00E07B09" w:rsidRPr="00D90E53" w:rsidRDefault="00E07B09" w:rsidP="00B41129">
      <w:pPr>
        <w:jc w:val="both"/>
        <w:rPr>
          <w:b/>
          <w:sz w:val="64"/>
          <w:szCs w:val="64"/>
        </w:rPr>
      </w:pPr>
    </w:p>
    <w:p w:rsidR="00E07B09" w:rsidRPr="00D90E53" w:rsidRDefault="00E07B09" w:rsidP="00B41129">
      <w:pPr>
        <w:jc w:val="both"/>
        <w:rPr>
          <w:b/>
          <w:sz w:val="64"/>
          <w:szCs w:val="64"/>
        </w:rPr>
      </w:pPr>
    </w:p>
    <w:p w:rsidR="00E07B09" w:rsidRPr="00D90E53" w:rsidRDefault="00E07B09" w:rsidP="00B41129">
      <w:pPr>
        <w:jc w:val="both"/>
        <w:rPr>
          <w:b/>
          <w:sz w:val="48"/>
          <w:szCs w:val="48"/>
        </w:rPr>
      </w:pPr>
      <w:r w:rsidRPr="00D90E53">
        <w:rPr>
          <w:b/>
          <w:sz w:val="48"/>
          <w:szCs w:val="48"/>
        </w:rPr>
        <w:t xml:space="preserve">   </w:t>
      </w:r>
      <w:smartTag w:uri="urn:schemas-microsoft-com:office:smarttags" w:element="date">
        <w:smartTagPr>
          <w:attr w:name="Year" w:val="2007"/>
          <w:attr w:name="Day" w:val="5"/>
          <w:attr w:name="Month" w:val="12"/>
        </w:smartTagPr>
        <w:r w:rsidR="00A03807">
          <w:rPr>
            <w:b/>
            <w:sz w:val="48"/>
            <w:szCs w:val="48"/>
          </w:rPr>
          <w:t>5</w:t>
        </w:r>
        <w:r w:rsidR="000B32C0">
          <w:rPr>
            <w:b/>
            <w:sz w:val="48"/>
            <w:szCs w:val="48"/>
          </w:rPr>
          <w:t xml:space="preserve"> December</w:t>
        </w:r>
        <w:r w:rsidR="00453214" w:rsidRPr="00D90E53">
          <w:rPr>
            <w:b/>
            <w:sz w:val="48"/>
            <w:szCs w:val="48"/>
          </w:rPr>
          <w:t xml:space="preserve"> 2007</w:t>
        </w:r>
      </w:smartTag>
    </w:p>
    <w:p w:rsidR="0074759F" w:rsidRPr="000A7094" w:rsidRDefault="000A08AB" w:rsidP="00C30932">
      <w:pPr>
        <w:jc w:val="both"/>
        <w:outlineLvl w:val="0"/>
        <w:rPr>
          <w:b/>
          <w:sz w:val="40"/>
          <w:szCs w:val="40"/>
        </w:rPr>
      </w:pPr>
      <w:r w:rsidRPr="00D90E53">
        <w:rPr>
          <w:b/>
          <w:sz w:val="28"/>
          <w:szCs w:val="28"/>
        </w:rPr>
        <w:br w:type="page"/>
      </w:r>
      <w:bookmarkStart w:id="3" w:name="_Toc184009275"/>
      <w:r w:rsidR="0074759F" w:rsidRPr="000A7094">
        <w:rPr>
          <w:b/>
          <w:sz w:val="40"/>
          <w:szCs w:val="40"/>
        </w:rPr>
        <w:lastRenderedPageBreak/>
        <w:t>Contents</w:t>
      </w:r>
      <w:bookmarkEnd w:id="3"/>
    </w:p>
    <w:p w:rsidR="0025264C" w:rsidRPr="000749A6" w:rsidRDefault="0025264C" w:rsidP="00B41129">
      <w:pPr>
        <w:jc w:val="both"/>
      </w:pPr>
    </w:p>
    <w:p w:rsidR="000749A6" w:rsidRPr="000749A6" w:rsidRDefault="000749A6" w:rsidP="00B41129">
      <w:pPr>
        <w:jc w:val="both"/>
      </w:pPr>
    </w:p>
    <w:p w:rsidR="0025264C" w:rsidRPr="000749A6" w:rsidRDefault="0025264C" w:rsidP="00B41129">
      <w:pPr>
        <w:jc w:val="both"/>
      </w:pPr>
    </w:p>
    <w:p w:rsidR="00B157FB" w:rsidRDefault="0025264C" w:rsidP="00C30932">
      <w:pPr>
        <w:pStyle w:val="TOC1"/>
      </w:pPr>
      <w:r w:rsidRPr="0025264C">
        <w:fldChar w:fldCharType="begin"/>
      </w:r>
      <w:r w:rsidRPr="0025264C">
        <w:instrText xml:space="preserve"> TOC \o "1-3" \f \h \z \u </w:instrText>
      </w:r>
    </w:p>
    <w:p w:rsidR="00B157FB" w:rsidRPr="00B157FB" w:rsidRDefault="0025264C" w:rsidP="00B504A5">
      <w:pPr>
        <w:pStyle w:val="TOC1"/>
        <w:ind w:left="0"/>
        <w:rPr>
          <w:rFonts w:ascii="Times New Roman" w:hAnsi="Times New Roman"/>
          <w:lang w:val="en-US"/>
        </w:rPr>
      </w:pPr>
      <w:r w:rsidRPr="0025264C">
        <w:rPr>
          <w:b/>
        </w:rPr>
        <w:fldChar w:fldCharType="separate"/>
      </w:r>
      <w:hyperlink w:anchor="_Toc181605559" w:history="1">
        <w:r w:rsidR="00B157FB" w:rsidRPr="00B157FB">
          <w:rPr>
            <w:rStyle w:val="Hyperlink"/>
            <w:b/>
          </w:rPr>
          <w:t>Executive Summary</w:t>
        </w:r>
        <w:r w:rsidR="00B157FB" w:rsidRPr="00B157FB">
          <w:rPr>
            <w:webHidden/>
          </w:rPr>
          <w:tab/>
        </w:r>
        <w:r w:rsidR="00B157FB" w:rsidRPr="00B157FB">
          <w:rPr>
            <w:webHidden/>
          </w:rPr>
          <w:fldChar w:fldCharType="begin"/>
        </w:r>
        <w:r w:rsidR="00B157FB" w:rsidRPr="00B157FB">
          <w:rPr>
            <w:webHidden/>
          </w:rPr>
          <w:instrText xml:space="preserve"> PAGEREF _Toc181605559 \h </w:instrText>
        </w:r>
        <w:r w:rsidR="00B157FB" w:rsidRPr="00B157FB">
          <w:rPr>
            <w:webHidden/>
          </w:rPr>
          <w:fldChar w:fldCharType="separate"/>
        </w:r>
        <w:r w:rsidR="00374247">
          <w:rPr>
            <w:webHidden/>
          </w:rPr>
          <w:t>3</w:t>
        </w:r>
        <w:r w:rsidR="00B157FB" w:rsidRPr="00B157FB">
          <w:rPr>
            <w:webHidden/>
          </w:rPr>
          <w:fldChar w:fldCharType="end"/>
        </w:r>
      </w:hyperlink>
    </w:p>
    <w:p w:rsidR="00B157FB" w:rsidRDefault="00B157FB" w:rsidP="00B504A5">
      <w:pPr>
        <w:pStyle w:val="TOC1"/>
        <w:ind w:left="0"/>
        <w:rPr>
          <w:rStyle w:val="Hyperlink"/>
        </w:rPr>
      </w:pPr>
    </w:p>
    <w:p w:rsidR="00B157FB" w:rsidRPr="00B157FB" w:rsidRDefault="00B157FB" w:rsidP="00B504A5">
      <w:pPr>
        <w:pStyle w:val="TOC1"/>
        <w:ind w:left="0"/>
        <w:rPr>
          <w:rFonts w:ascii="Times New Roman" w:hAnsi="Times New Roman"/>
          <w:lang w:val="en-US"/>
        </w:rPr>
      </w:pPr>
      <w:hyperlink w:anchor="_Toc181605560" w:history="1">
        <w:r w:rsidRPr="00B157FB">
          <w:rPr>
            <w:rStyle w:val="Hyperlink"/>
            <w:b/>
          </w:rPr>
          <w:t>Price Control to Date</w:t>
        </w:r>
        <w:r w:rsidRPr="00B157FB">
          <w:rPr>
            <w:webHidden/>
          </w:rPr>
          <w:tab/>
        </w:r>
        <w:r w:rsidRPr="00B157FB">
          <w:rPr>
            <w:webHidden/>
          </w:rPr>
          <w:fldChar w:fldCharType="begin"/>
        </w:r>
        <w:r w:rsidRPr="00B157FB">
          <w:rPr>
            <w:webHidden/>
          </w:rPr>
          <w:instrText xml:space="preserve"> PAGEREF _Toc181605560 \h </w:instrText>
        </w:r>
        <w:r w:rsidRPr="00B157FB">
          <w:rPr>
            <w:webHidden/>
          </w:rPr>
          <w:fldChar w:fldCharType="separate"/>
        </w:r>
        <w:r w:rsidR="00374247">
          <w:rPr>
            <w:webHidden/>
          </w:rPr>
          <w:t>4</w:t>
        </w:r>
        <w:r w:rsidRPr="00B157FB">
          <w:rPr>
            <w:webHidden/>
          </w:rPr>
          <w:fldChar w:fldCharType="end"/>
        </w:r>
      </w:hyperlink>
    </w:p>
    <w:p w:rsidR="00B157FB" w:rsidRDefault="00B157FB" w:rsidP="00B504A5">
      <w:pPr>
        <w:pStyle w:val="TOC1"/>
        <w:ind w:left="0"/>
        <w:rPr>
          <w:rStyle w:val="Hyperlink"/>
        </w:rPr>
      </w:pPr>
    </w:p>
    <w:p w:rsidR="00B157FB" w:rsidRPr="00B157FB" w:rsidRDefault="00B157FB" w:rsidP="00B504A5">
      <w:pPr>
        <w:pStyle w:val="TOC1"/>
        <w:ind w:left="0"/>
        <w:rPr>
          <w:rFonts w:ascii="Times New Roman" w:hAnsi="Times New Roman"/>
          <w:lang w:val="en-US"/>
        </w:rPr>
      </w:pPr>
      <w:hyperlink w:anchor="_Toc181605561" w:history="1">
        <w:r w:rsidRPr="00B157FB">
          <w:rPr>
            <w:rStyle w:val="Hyperlink"/>
            <w:b/>
          </w:rPr>
          <w:t>Changing Environment</w:t>
        </w:r>
        <w:r w:rsidRPr="00B157FB">
          <w:rPr>
            <w:webHidden/>
          </w:rPr>
          <w:tab/>
        </w:r>
        <w:r w:rsidRPr="00B157FB">
          <w:rPr>
            <w:webHidden/>
          </w:rPr>
          <w:fldChar w:fldCharType="begin"/>
        </w:r>
        <w:r w:rsidRPr="00B157FB">
          <w:rPr>
            <w:webHidden/>
          </w:rPr>
          <w:instrText xml:space="preserve"> PAGEREF _Toc181605561 \h </w:instrText>
        </w:r>
        <w:r w:rsidRPr="00B157FB">
          <w:rPr>
            <w:webHidden/>
          </w:rPr>
          <w:fldChar w:fldCharType="separate"/>
        </w:r>
        <w:r w:rsidR="00374247">
          <w:rPr>
            <w:webHidden/>
          </w:rPr>
          <w:t>4</w:t>
        </w:r>
        <w:r w:rsidRPr="00B157FB">
          <w:rPr>
            <w:webHidden/>
          </w:rPr>
          <w:fldChar w:fldCharType="end"/>
        </w:r>
      </w:hyperlink>
    </w:p>
    <w:p w:rsidR="00B157FB" w:rsidRDefault="00B157FB" w:rsidP="00B504A5">
      <w:pPr>
        <w:pStyle w:val="TOC1"/>
        <w:ind w:left="0"/>
        <w:rPr>
          <w:rStyle w:val="Hyperlink"/>
        </w:rPr>
      </w:pPr>
    </w:p>
    <w:p w:rsidR="00B157FB" w:rsidRPr="00B157FB" w:rsidRDefault="00B157FB" w:rsidP="00B504A5">
      <w:pPr>
        <w:pStyle w:val="TOC1"/>
        <w:ind w:left="0"/>
        <w:rPr>
          <w:rFonts w:ascii="Times New Roman" w:hAnsi="Times New Roman"/>
          <w:lang w:val="en-US"/>
        </w:rPr>
      </w:pPr>
      <w:hyperlink w:anchor="_Toc181605562" w:history="1">
        <w:r w:rsidRPr="00B157FB">
          <w:rPr>
            <w:rStyle w:val="Hyperlink"/>
            <w:b/>
          </w:rPr>
          <w:t>The Price Control and Tariffs</w:t>
        </w:r>
        <w:r w:rsidRPr="00B157FB">
          <w:rPr>
            <w:webHidden/>
          </w:rPr>
          <w:tab/>
        </w:r>
        <w:r w:rsidRPr="00B157FB">
          <w:rPr>
            <w:webHidden/>
          </w:rPr>
          <w:fldChar w:fldCharType="begin"/>
        </w:r>
        <w:r w:rsidRPr="00B157FB">
          <w:rPr>
            <w:webHidden/>
          </w:rPr>
          <w:instrText xml:space="preserve"> PAGEREF _Toc181605562 \h </w:instrText>
        </w:r>
        <w:r w:rsidRPr="00B157FB">
          <w:rPr>
            <w:webHidden/>
          </w:rPr>
          <w:fldChar w:fldCharType="separate"/>
        </w:r>
        <w:r w:rsidR="00374247">
          <w:rPr>
            <w:webHidden/>
          </w:rPr>
          <w:t>5</w:t>
        </w:r>
        <w:r w:rsidRPr="00B157FB">
          <w:rPr>
            <w:webHidden/>
          </w:rPr>
          <w:fldChar w:fldCharType="end"/>
        </w:r>
      </w:hyperlink>
    </w:p>
    <w:p w:rsidR="00B157FB" w:rsidRDefault="00B157FB" w:rsidP="00B504A5">
      <w:pPr>
        <w:pStyle w:val="TOC1"/>
        <w:ind w:left="0"/>
        <w:rPr>
          <w:rStyle w:val="Hyperlink"/>
        </w:rPr>
      </w:pPr>
    </w:p>
    <w:p w:rsidR="00B157FB" w:rsidRPr="00B157FB" w:rsidRDefault="00B157FB" w:rsidP="00B504A5">
      <w:pPr>
        <w:pStyle w:val="TOC1"/>
        <w:ind w:left="0"/>
        <w:rPr>
          <w:rFonts w:ascii="Times New Roman" w:hAnsi="Times New Roman"/>
          <w:lang w:val="en-US"/>
        </w:rPr>
      </w:pPr>
      <w:hyperlink w:anchor="_Toc181605563" w:history="1">
        <w:r w:rsidRPr="00B157FB">
          <w:rPr>
            <w:rStyle w:val="Hyperlink"/>
            <w:b/>
          </w:rPr>
          <w:t>Approach</w:t>
        </w:r>
        <w:r w:rsidRPr="00B157FB">
          <w:rPr>
            <w:webHidden/>
          </w:rPr>
          <w:tab/>
        </w:r>
        <w:r w:rsidRPr="00B157FB">
          <w:rPr>
            <w:webHidden/>
          </w:rPr>
          <w:fldChar w:fldCharType="begin"/>
        </w:r>
        <w:r w:rsidRPr="00B157FB">
          <w:rPr>
            <w:webHidden/>
          </w:rPr>
          <w:instrText xml:space="preserve"> PAGEREF _Toc181605563 \h </w:instrText>
        </w:r>
        <w:r w:rsidRPr="00B157FB">
          <w:rPr>
            <w:webHidden/>
          </w:rPr>
          <w:fldChar w:fldCharType="separate"/>
        </w:r>
        <w:r w:rsidR="00374247">
          <w:rPr>
            <w:webHidden/>
          </w:rPr>
          <w:t>6</w:t>
        </w:r>
        <w:r w:rsidRPr="00B157FB">
          <w:rPr>
            <w:webHidden/>
          </w:rPr>
          <w:fldChar w:fldCharType="end"/>
        </w:r>
      </w:hyperlink>
    </w:p>
    <w:p w:rsidR="00B157FB" w:rsidRDefault="00B157FB" w:rsidP="00B504A5">
      <w:pPr>
        <w:pStyle w:val="TOC1"/>
        <w:ind w:left="0"/>
        <w:rPr>
          <w:rStyle w:val="Hyperlink"/>
        </w:rPr>
      </w:pPr>
    </w:p>
    <w:p w:rsidR="00B157FB" w:rsidRPr="00B157FB" w:rsidRDefault="00B157FB" w:rsidP="00B504A5">
      <w:pPr>
        <w:pStyle w:val="TOC1"/>
        <w:ind w:left="0"/>
        <w:rPr>
          <w:rFonts w:ascii="Times New Roman" w:hAnsi="Times New Roman"/>
          <w:lang w:val="en-US"/>
        </w:rPr>
      </w:pPr>
      <w:hyperlink w:anchor="_Toc181605564" w:history="1">
        <w:r w:rsidRPr="00B157FB">
          <w:rPr>
            <w:rStyle w:val="Hyperlink"/>
            <w:b/>
          </w:rPr>
          <w:t>Proposals</w:t>
        </w:r>
        <w:r w:rsidRPr="00B157FB">
          <w:rPr>
            <w:webHidden/>
          </w:rPr>
          <w:tab/>
        </w:r>
        <w:r w:rsidRPr="00B157FB">
          <w:rPr>
            <w:webHidden/>
          </w:rPr>
          <w:fldChar w:fldCharType="begin"/>
        </w:r>
        <w:r w:rsidRPr="00B157FB">
          <w:rPr>
            <w:webHidden/>
          </w:rPr>
          <w:instrText xml:space="preserve"> PAGEREF _Toc181605564 \h </w:instrText>
        </w:r>
        <w:r w:rsidRPr="00B157FB">
          <w:rPr>
            <w:webHidden/>
          </w:rPr>
          <w:fldChar w:fldCharType="separate"/>
        </w:r>
        <w:r w:rsidR="00374247">
          <w:rPr>
            <w:webHidden/>
          </w:rPr>
          <w:t>6</w:t>
        </w:r>
        <w:r w:rsidRPr="00B157FB">
          <w:rPr>
            <w:webHidden/>
          </w:rPr>
          <w:fldChar w:fldCharType="end"/>
        </w:r>
      </w:hyperlink>
    </w:p>
    <w:p w:rsidR="00B157FB" w:rsidRDefault="00B157FB" w:rsidP="00B157FB">
      <w:pPr>
        <w:pStyle w:val="TOC2"/>
        <w:rPr>
          <w:rStyle w:val="Hyperlink"/>
          <w:noProof/>
          <w:sz w:val="28"/>
          <w:szCs w:val="28"/>
        </w:rPr>
      </w:pPr>
    </w:p>
    <w:p w:rsidR="00B157FB" w:rsidRPr="00B157FB" w:rsidRDefault="00B157FB" w:rsidP="000A7094">
      <w:pPr>
        <w:pStyle w:val="TOC2"/>
        <w:ind w:left="374"/>
        <w:rPr>
          <w:rFonts w:ascii="Times New Roman" w:hAnsi="Times New Roman"/>
          <w:noProof/>
          <w:sz w:val="28"/>
          <w:szCs w:val="28"/>
          <w:lang w:val="en-US"/>
        </w:rPr>
      </w:pPr>
      <w:hyperlink w:anchor="_Toc181605565" w:history="1">
        <w:r w:rsidRPr="00B157FB">
          <w:rPr>
            <w:rStyle w:val="Hyperlink"/>
            <w:b/>
            <w:noProof/>
            <w:sz w:val="28"/>
            <w:szCs w:val="28"/>
          </w:rPr>
          <w:t>Form and Scope</w:t>
        </w:r>
        <w:r w:rsidRPr="00B157FB">
          <w:rPr>
            <w:noProof/>
            <w:webHidden/>
            <w:sz w:val="28"/>
            <w:szCs w:val="28"/>
          </w:rPr>
          <w:tab/>
        </w:r>
        <w:r w:rsidRPr="00B157FB">
          <w:rPr>
            <w:noProof/>
            <w:webHidden/>
            <w:sz w:val="28"/>
            <w:szCs w:val="28"/>
          </w:rPr>
          <w:fldChar w:fldCharType="begin"/>
        </w:r>
        <w:r w:rsidRPr="00B157FB">
          <w:rPr>
            <w:noProof/>
            <w:webHidden/>
            <w:sz w:val="28"/>
            <w:szCs w:val="28"/>
          </w:rPr>
          <w:instrText xml:space="preserve"> PAGEREF _Toc181605565 \h </w:instrText>
        </w:r>
        <w:r w:rsidRPr="00B157FB">
          <w:rPr>
            <w:noProof/>
            <w:sz w:val="28"/>
            <w:szCs w:val="28"/>
          </w:rPr>
        </w:r>
        <w:r w:rsidRPr="00B157FB">
          <w:rPr>
            <w:noProof/>
            <w:webHidden/>
            <w:sz w:val="28"/>
            <w:szCs w:val="28"/>
          </w:rPr>
          <w:fldChar w:fldCharType="separate"/>
        </w:r>
        <w:r w:rsidR="00374247">
          <w:rPr>
            <w:noProof/>
            <w:webHidden/>
            <w:sz w:val="28"/>
            <w:szCs w:val="28"/>
          </w:rPr>
          <w:t>6</w:t>
        </w:r>
        <w:r w:rsidRPr="00B157FB">
          <w:rPr>
            <w:noProof/>
            <w:webHidden/>
            <w:sz w:val="28"/>
            <w:szCs w:val="28"/>
          </w:rPr>
          <w:fldChar w:fldCharType="end"/>
        </w:r>
      </w:hyperlink>
    </w:p>
    <w:p w:rsidR="00B157FB" w:rsidRDefault="00B157FB" w:rsidP="000A7094">
      <w:pPr>
        <w:pStyle w:val="TOC2"/>
        <w:ind w:left="374"/>
        <w:rPr>
          <w:rStyle w:val="Hyperlink"/>
          <w:noProof/>
          <w:sz w:val="28"/>
          <w:szCs w:val="28"/>
        </w:rPr>
      </w:pPr>
    </w:p>
    <w:p w:rsidR="00B157FB" w:rsidRPr="00B157FB" w:rsidRDefault="00B157FB" w:rsidP="000A7094">
      <w:pPr>
        <w:pStyle w:val="TOC2"/>
        <w:ind w:left="374"/>
        <w:rPr>
          <w:rFonts w:ascii="Times New Roman" w:hAnsi="Times New Roman"/>
          <w:noProof/>
          <w:sz w:val="28"/>
          <w:szCs w:val="28"/>
          <w:lang w:val="en-US"/>
        </w:rPr>
      </w:pPr>
      <w:hyperlink w:anchor="_Toc181605566" w:history="1">
        <w:r w:rsidRPr="00B157FB">
          <w:rPr>
            <w:rStyle w:val="Hyperlink"/>
            <w:b/>
            <w:noProof/>
            <w:sz w:val="28"/>
            <w:szCs w:val="28"/>
          </w:rPr>
          <w:t>Duration</w:t>
        </w:r>
        <w:r w:rsidRPr="00B157FB">
          <w:rPr>
            <w:noProof/>
            <w:webHidden/>
            <w:sz w:val="28"/>
            <w:szCs w:val="28"/>
          </w:rPr>
          <w:tab/>
        </w:r>
        <w:r w:rsidRPr="00B157FB">
          <w:rPr>
            <w:noProof/>
            <w:webHidden/>
            <w:sz w:val="28"/>
            <w:szCs w:val="28"/>
          </w:rPr>
          <w:fldChar w:fldCharType="begin"/>
        </w:r>
        <w:r w:rsidRPr="00B157FB">
          <w:rPr>
            <w:noProof/>
            <w:webHidden/>
            <w:sz w:val="28"/>
            <w:szCs w:val="28"/>
          </w:rPr>
          <w:instrText xml:space="preserve"> PAGEREF _Toc181605566 \h </w:instrText>
        </w:r>
        <w:r w:rsidRPr="00B157FB">
          <w:rPr>
            <w:noProof/>
            <w:sz w:val="28"/>
            <w:szCs w:val="28"/>
          </w:rPr>
        </w:r>
        <w:r w:rsidRPr="00B157FB">
          <w:rPr>
            <w:noProof/>
            <w:webHidden/>
            <w:sz w:val="28"/>
            <w:szCs w:val="28"/>
          </w:rPr>
          <w:fldChar w:fldCharType="separate"/>
        </w:r>
        <w:r w:rsidR="00374247">
          <w:rPr>
            <w:noProof/>
            <w:webHidden/>
            <w:sz w:val="28"/>
            <w:szCs w:val="28"/>
          </w:rPr>
          <w:t>7</w:t>
        </w:r>
        <w:r w:rsidRPr="00B157FB">
          <w:rPr>
            <w:noProof/>
            <w:webHidden/>
            <w:sz w:val="28"/>
            <w:szCs w:val="28"/>
          </w:rPr>
          <w:fldChar w:fldCharType="end"/>
        </w:r>
      </w:hyperlink>
    </w:p>
    <w:p w:rsidR="00B157FB" w:rsidRDefault="00B157FB" w:rsidP="000A7094">
      <w:pPr>
        <w:pStyle w:val="TOC2"/>
        <w:ind w:left="374"/>
        <w:rPr>
          <w:rStyle w:val="Hyperlink"/>
          <w:noProof/>
          <w:sz w:val="28"/>
          <w:szCs w:val="28"/>
        </w:rPr>
      </w:pPr>
    </w:p>
    <w:p w:rsidR="00B157FB" w:rsidRPr="00B157FB" w:rsidRDefault="00B157FB" w:rsidP="000A7094">
      <w:pPr>
        <w:pStyle w:val="TOC2"/>
        <w:ind w:left="374"/>
        <w:rPr>
          <w:rFonts w:ascii="Times New Roman" w:hAnsi="Times New Roman"/>
          <w:noProof/>
          <w:sz w:val="28"/>
          <w:szCs w:val="28"/>
          <w:lang w:val="en-US"/>
        </w:rPr>
      </w:pPr>
      <w:hyperlink w:anchor="_Toc181605567" w:history="1">
        <w:r w:rsidRPr="00B157FB">
          <w:rPr>
            <w:rStyle w:val="Hyperlink"/>
            <w:b/>
            <w:noProof/>
            <w:sz w:val="28"/>
            <w:szCs w:val="28"/>
          </w:rPr>
          <w:t>Operating Costs</w:t>
        </w:r>
        <w:r w:rsidRPr="00B157FB">
          <w:rPr>
            <w:noProof/>
            <w:webHidden/>
            <w:sz w:val="28"/>
            <w:szCs w:val="28"/>
          </w:rPr>
          <w:tab/>
        </w:r>
        <w:r w:rsidRPr="00B157FB">
          <w:rPr>
            <w:noProof/>
            <w:webHidden/>
            <w:sz w:val="28"/>
            <w:szCs w:val="28"/>
          </w:rPr>
          <w:fldChar w:fldCharType="begin"/>
        </w:r>
        <w:r w:rsidRPr="00B157FB">
          <w:rPr>
            <w:noProof/>
            <w:webHidden/>
            <w:sz w:val="28"/>
            <w:szCs w:val="28"/>
          </w:rPr>
          <w:instrText xml:space="preserve"> PAGEREF _Toc181605567 \h </w:instrText>
        </w:r>
        <w:r w:rsidRPr="00B157FB">
          <w:rPr>
            <w:noProof/>
            <w:sz w:val="28"/>
            <w:szCs w:val="28"/>
          </w:rPr>
        </w:r>
        <w:r w:rsidRPr="00B157FB">
          <w:rPr>
            <w:noProof/>
            <w:webHidden/>
            <w:sz w:val="28"/>
            <w:szCs w:val="28"/>
          </w:rPr>
          <w:fldChar w:fldCharType="separate"/>
        </w:r>
        <w:r w:rsidR="00374247">
          <w:rPr>
            <w:noProof/>
            <w:webHidden/>
            <w:sz w:val="28"/>
            <w:szCs w:val="28"/>
          </w:rPr>
          <w:t>7</w:t>
        </w:r>
        <w:r w:rsidRPr="00B157FB">
          <w:rPr>
            <w:noProof/>
            <w:webHidden/>
            <w:sz w:val="28"/>
            <w:szCs w:val="28"/>
          </w:rPr>
          <w:fldChar w:fldCharType="end"/>
        </w:r>
      </w:hyperlink>
    </w:p>
    <w:p w:rsidR="00B157FB" w:rsidRDefault="00B157FB" w:rsidP="00B157FB">
      <w:pPr>
        <w:pStyle w:val="TOC3"/>
        <w:tabs>
          <w:tab w:val="right" w:leader="dot" w:pos="9060"/>
        </w:tabs>
        <w:ind w:left="1440"/>
        <w:rPr>
          <w:rStyle w:val="Hyperlink"/>
          <w:noProof/>
        </w:rPr>
      </w:pPr>
    </w:p>
    <w:p w:rsidR="00B157FB" w:rsidRDefault="00B157FB" w:rsidP="00B157FB">
      <w:pPr>
        <w:pStyle w:val="TOC3"/>
        <w:tabs>
          <w:tab w:val="right" w:leader="dot" w:pos="9060"/>
        </w:tabs>
        <w:ind w:left="1440"/>
        <w:rPr>
          <w:rFonts w:ascii="Times New Roman" w:hAnsi="Times New Roman"/>
          <w:noProof/>
          <w:lang w:val="en-US"/>
        </w:rPr>
      </w:pPr>
      <w:hyperlink w:anchor="_Toc181605568" w:history="1">
        <w:r w:rsidRPr="00EF63EF">
          <w:rPr>
            <w:rStyle w:val="Hyperlink"/>
            <w:b/>
            <w:noProof/>
          </w:rPr>
          <w:t>Salaries</w:t>
        </w:r>
        <w:r>
          <w:rPr>
            <w:noProof/>
            <w:webHidden/>
          </w:rPr>
          <w:tab/>
        </w:r>
        <w:r>
          <w:rPr>
            <w:noProof/>
            <w:webHidden/>
          </w:rPr>
          <w:fldChar w:fldCharType="begin"/>
        </w:r>
        <w:r>
          <w:rPr>
            <w:noProof/>
            <w:webHidden/>
          </w:rPr>
          <w:instrText xml:space="preserve"> PAGEREF _Toc181605568 \h </w:instrText>
        </w:r>
        <w:r>
          <w:rPr>
            <w:noProof/>
          </w:rPr>
        </w:r>
        <w:r>
          <w:rPr>
            <w:noProof/>
            <w:webHidden/>
          </w:rPr>
          <w:fldChar w:fldCharType="separate"/>
        </w:r>
        <w:r w:rsidR="00374247">
          <w:rPr>
            <w:noProof/>
            <w:webHidden/>
          </w:rPr>
          <w:t>8</w:t>
        </w:r>
        <w:r>
          <w:rPr>
            <w:noProof/>
            <w:webHidden/>
          </w:rPr>
          <w:fldChar w:fldCharType="end"/>
        </w:r>
      </w:hyperlink>
    </w:p>
    <w:p w:rsidR="00B157FB" w:rsidRDefault="00B157FB" w:rsidP="00B157FB">
      <w:pPr>
        <w:pStyle w:val="TOC3"/>
        <w:tabs>
          <w:tab w:val="right" w:leader="dot" w:pos="9060"/>
        </w:tabs>
        <w:ind w:left="1440"/>
        <w:rPr>
          <w:rStyle w:val="Hyperlink"/>
          <w:noProof/>
        </w:rPr>
      </w:pPr>
    </w:p>
    <w:p w:rsidR="00B157FB" w:rsidRDefault="00B157FB" w:rsidP="00B157FB">
      <w:pPr>
        <w:pStyle w:val="TOC3"/>
        <w:tabs>
          <w:tab w:val="right" w:leader="dot" w:pos="9060"/>
        </w:tabs>
        <w:ind w:left="1440"/>
        <w:rPr>
          <w:rFonts w:ascii="Times New Roman" w:hAnsi="Times New Roman"/>
          <w:noProof/>
          <w:lang w:val="en-US"/>
        </w:rPr>
      </w:pPr>
      <w:hyperlink w:anchor="_Toc181605569" w:history="1">
        <w:r w:rsidRPr="00EF63EF">
          <w:rPr>
            <w:rStyle w:val="Hyperlink"/>
            <w:b/>
            <w:noProof/>
          </w:rPr>
          <w:t>Bad Debt</w:t>
        </w:r>
        <w:r>
          <w:rPr>
            <w:noProof/>
            <w:webHidden/>
          </w:rPr>
          <w:tab/>
        </w:r>
        <w:r>
          <w:rPr>
            <w:noProof/>
            <w:webHidden/>
          </w:rPr>
          <w:fldChar w:fldCharType="begin"/>
        </w:r>
        <w:r>
          <w:rPr>
            <w:noProof/>
            <w:webHidden/>
          </w:rPr>
          <w:instrText xml:space="preserve"> PAGEREF _Toc181605569 \h </w:instrText>
        </w:r>
        <w:r>
          <w:rPr>
            <w:noProof/>
          </w:rPr>
        </w:r>
        <w:r>
          <w:rPr>
            <w:noProof/>
            <w:webHidden/>
          </w:rPr>
          <w:fldChar w:fldCharType="separate"/>
        </w:r>
        <w:r w:rsidR="00374247">
          <w:rPr>
            <w:noProof/>
            <w:webHidden/>
          </w:rPr>
          <w:t>8</w:t>
        </w:r>
        <w:r>
          <w:rPr>
            <w:noProof/>
            <w:webHidden/>
          </w:rPr>
          <w:fldChar w:fldCharType="end"/>
        </w:r>
      </w:hyperlink>
    </w:p>
    <w:p w:rsidR="00B157FB" w:rsidRDefault="00B157FB" w:rsidP="00B157FB">
      <w:pPr>
        <w:pStyle w:val="TOC2"/>
        <w:ind w:left="1440"/>
        <w:rPr>
          <w:rStyle w:val="Hyperlink"/>
          <w:noProof/>
        </w:rPr>
      </w:pPr>
    </w:p>
    <w:p w:rsidR="00B157FB" w:rsidRDefault="00B157FB" w:rsidP="00B157FB">
      <w:pPr>
        <w:pStyle w:val="TOC2"/>
        <w:ind w:left="1440"/>
        <w:rPr>
          <w:rFonts w:ascii="Times New Roman" w:hAnsi="Times New Roman"/>
          <w:noProof/>
          <w:lang w:val="en-US"/>
        </w:rPr>
      </w:pPr>
      <w:hyperlink w:anchor="_Toc181605570" w:history="1">
        <w:r w:rsidRPr="00EF63EF">
          <w:rPr>
            <w:rStyle w:val="Hyperlink"/>
            <w:b/>
            <w:noProof/>
          </w:rPr>
          <w:t>Licence Fees</w:t>
        </w:r>
        <w:r>
          <w:rPr>
            <w:noProof/>
            <w:webHidden/>
          </w:rPr>
          <w:tab/>
        </w:r>
        <w:r>
          <w:rPr>
            <w:noProof/>
            <w:webHidden/>
          </w:rPr>
          <w:fldChar w:fldCharType="begin"/>
        </w:r>
        <w:r>
          <w:rPr>
            <w:noProof/>
            <w:webHidden/>
          </w:rPr>
          <w:instrText xml:space="preserve"> PAGEREF _Toc181605570 \h </w:instrText>
        </w:r>
        <w:r>
          <w:rPr>
            <w:noProof/>
          </w:rPr>
        </w:r>
        <w:r>
          <w:rPr>
            <w:noProof/>
            <w:webHidden/>
          </w:rPr>
          <w:fldChar w:fldCharType="separate"/>
        </w:r>
        <w:r w:rsidR="00374247">
          <w:rPr>
            <w:noProof/>
            <w:webHidden/>
          </w:rPr>
          <w:t>9</w:t>
        </w:r>
        <w:r>
          <w:rPr>
            <w:noProof/>
            <w:webHidden/>
          </w:rPr>
          <w:fldChar w:fldCharType="end"/>
        </w:r>
      </w:hyperlink>
    </w:p>
    <w:p w:rsidR="00B157FB" w:rsidRDefault="00B157FB" w:rsidP="00B157FB">
      <w:pPr>
        <w:pStyle w:val="TOC2"/>
        <w:ind w:left="1440"/>
        <w:rPr>
          <w:rStyle w:val="Hyperlink"/>
          <w:noProof/>
        </w:rPr>
      </w:pPr>
    </w:p>
    <w:p w:rsidR="00B157FB" w:rsidRDefault="00B157FB" w:rsidP="00B157FB">
      <w:pPr>
        <w:pStyle w:val="TOC2"/>
        <w:ind w:left="1440"/>
        <w:rPr>
          <w:rFonts w:ascii="Times New Roman" w:hAnsi="Times New Roman"/>
          <w:noProof/>
          <w:lang w:val="en-US"/>
        </w:rPr>
      </w:pPr>
      <w:hyperlink w:anchor="_Toc181605571" w:history="1">
        <w:r w:rsidRPr="00EF63EF">
          <w:rPr>
            <w:rStyle w:val="Hyperlink"/>
            <w:b/>
            <w:noProof/>
          </w:rPr>
          <w:t>NI2007</w:t>
        </w:r>
        <w:r>
          <w:rPr>
            <w:noProof/>
            <w:webHidden/>
          </w:rPr>
          <w:tab/>
        </w:r>
        <w:r>
          <w:rPr>
            <w:noProof/>
            <w:webHidden/>
          </w:rPr>
          <w:fldChar w:fldCharType="begin"/>
        </w:r>
        <w:r>
          <w:rPr>
            <w:noProof/>
            <w:webHidden/>
          </w:rPr>
          <w:instrText xml:space="preserve"> PAGEREF _Toc181605571 \h </w:instrText>
        </w:r>
        <w:r>
          <w:rPr>
            <w:noProof/>
          </w:rPr>
        </w:r>
        <w:r>
          <w:rPr>
            <w:noProof/>
            <w:webHidden/>
          </w:rPr>
          <w:fldChar w:fldCharType="separate"/>
        </w:r>
        <w:r w:rsidR="00374247">
          <w:rPr>
            <w:noProof/>
            <w:webHidden/>
          </w:rPr>
          <w:t>9</w:t>
        </w:r>
        <w:r>
          <w:rPr>
            <w:noProof/>
            <w:webHidden/>
          </w:rPr>
          <w:fldChar w:fldCharType="end"/>
        </w:r>
      </w:hyperlink>
    </w:p>
    <w:p w:rsidR="00B157FB" w:rsidRDefault="00B157FB" w:rsidP="00B157FB">
      <w:pPr>
        <w:pStyle w:val="TOC2"/>
        <w:ind w:left="1440"/>
        <w:rPr>
          <w:rStyle w:val="Hyperlink"/>
          <w:noProof/>
        </w:rPr>
      </w:pPr>
    </w:p>
    <w:p w:rsidR="00B157FB" w:rsidRDefault="00B157FB" w:rsidP="00B157FB">
      <w:pPr>
        <w:pStyle w:val="TOC2"/>
        <w:ind w:left="1440"/>
        <w:rPr>
          <w:rFonts w:ascii="Times New Roman" w:hAnsi="Times New Roman"/>
          <w:noProof/>
          <w:lang w:val="en-US"/>
        </w:rPr>
      </w:pPr>
      <w:hyperlink w:anchor="_Toc181605572" w:history="1">
        <w:r w:rsidRPr="00EF63EF">
          <w:rPr>
            <w:rStyle w:val="Hyperlink"/>
            <w:b/>
            <w:noProof/>
          </w:rPr>
          <w:t>Pensions</w:t>
        </w:r>
        <w:r>
          <w:rPr>
            <w:noProof/>
            <w:webHidden/>
          </w:rPr>
          <w:tab/>
        </w:r>
        <w:r>
          <w:rPr>
            <w:noProof/>
            <w:webHidden/>
          </w:rPr>
          <w:fldChar w:fldCharType="begin"/>
        </w:r>
        <w:r>
          <w:rPr>
            <w:noProof/>
            <w:webHidden/>
          </w:rPr>
          <w:instrText xml:space="preserve"> PAGEREF _Toc181605572 \h </w:instrText>
        </w:r>
        <w:r>
          <w:rPr>
            <w:noProof/>
          </w:rPr>
        </w:r>
        <w:r>
          <w:rPr>
            <w:noProof/>
            <w:webHidden/>
          </w:rPr>
          <w:fldChar w:fldCharType="separate"/>
        </w:r>
        <w:r w:rsidR="00374247">
          <w:rPr>
            <w:noProof/>
            <w:webHidden/>
          </w:rPr>
          <w:t>9</w:t>
        </w:r>
        <w:r>
          <w:rPr>
            <w:noProof/>
            <w:webHidden/>
          </w:rPr>
          <w:fldChar w:fldCharType="end"/>
        </w:r>
      </w:hyperlink>
    </w:p>
    <w:p w:rsidR="00B157FB" w:rsidRDefault="00B157FB" w:rsidP="00B157FB">
      <w:pPr>
        <w:pStyle w:val="TOC2"/>
        <w:ind w:left="1440"/>
        <w:rPr>
          <w:rStyle w:val="Hyperlink"/>
          <w:noProof/>
        </w:rPr>
      </w:pPr>
    </w:p>
    <w:p w:rsidR="00B157FB" w:rsidRDefault="00B157FB" w:rsidP="00B157FB">
      <w:pPr>
        <w:pStyle w:val="TOC2"/>
        <w:ind w:left="1440"/>
        <w:rPr>
          <w:rFonts w:ascii="Times New Roman" w:hAnsi="Times New Roman"/>
          <w:noProof/>
          <w:lang w:val="en-US"/>
        </w:rPr>
      </w:pPr>
      <w:hyperlink w:anchor="_Toc181605573" w:history="1">
        <w:r w:rsidRPr="00EF63EF">
          <w:rPr>
            <w:rStyle w:val="Hyperlink"/>
            <w:b/>
            <w:noProof/>
          </w:rPr>
          <w:t>Total Operating Costs</w:t>
        </w:r>
        <w:r>
          <w:rPr>
            <w:noProof/>
            <w:webHidden/>
          </w:rPr>
          <w:tab/>
        </w:r>
        <w:r>
          <w:rPr>
            <w:noProof/>
            <w:webHidden/>
          </w:rPr>
          <w:fldChar w:fldCharType="begin"/>
        </w:r>
        <w:r>
          <w:rPr>
            <w:noProof/>
            <w:webHidden/>
          </w:rPr>
          <w:instrText xml:space="preserve"> PAGEREF _Toc181605573 \h </w:instrText>
        </w:r>
        <w:r>
          <w:rPr>
            <w:noProof/>
          </w:rPr>
        </w:r>
        <w:r>
          <w:rPr>
            <w:noProof/>
            <w:webHidden/>
          </w:rPr>
          <w:fldChar w:fldCharType="separate"/>
        </w:r>
        <w:r w:rsidR="00374247">
          <w:rPr>
            <w:noProof/>
            <w:webHidden/>
          </w:rPr>
          <w:t>10</w:t>
        </w:r>
        <w:r>
          <w:rPr>
            <w:noProof/>
            <w:webHidden/>
          </w:rPr>
          <w:fldChar w:fldCharType="end"/>
        </w:r>
      </w:hyperlink>
    </w:p>
    <w:p w:rsidR="00B157FB" w:rsidRDefault="00B157FB" w:rsidP="00C30932">
      <w:pPr>
        <w:pStyle w:val="TOC1"/>
        <w:rPr>
          <w:rStyle w:val="Hyperlink"/>
        </w:rPr>
      </w:pPr>
    </w:p>
    <w:p w:rsidR="00B157FB" w:rsidRPr="00B157FB" w:rsidRDefault="00B157FB" w:rsidP="00C30932">
      <w:pPr>
        <w:pStyle w:val="TOC1"/>
        <w:rPr>
          <w:rFonts w:ascii="Times New Roman" w:hAnsi="Times New Roman"/>
          <w:lang w:val="en-US"/>
        </w:rPr>
      </w:pPr>
      <w:hyperlink w:anchor="_Toc181605574" w:history="1">
        <w:r w:rsidRPr="00B157FB">
          <w:rPr>
            <w:rStyle w:val="Hyperlink"/>
            <w:b/>
          </w:rPr>
          <w:t>Deprecia</w:t>
        </w:r>
        <w:r w:rsidRPr="00B157FB">
          <w:rPr>
            <w:rStyle w:val="Hyperlink"/>
            <w:b/>
          </w:rPr>
          <w:t>tion</w:t>
        </w:r>
        <w:r w:rsidRPr="00B157FB">
          <w:rPr>
            <w:webHidden/>
          </w:rPr>
          <w:tab/>
        </w:r>
        <w:r w:rsidRPr="00B157FB">
          <w:rPr>
            <w:webHidden/>
          </w:rPr>
          <w:fldChar w:fldCharType="begin"/>
        </w:r>
        <w:r w:rsidRPr="00B157FB">
          <w:rPr>
            <w:webHidden/>
          </w:rPr>
          <w:instrText xml:space="preserve"> PAGEREF _Toc181605574 \h </w:instrText>
        </w:r>
        <w:r w:rsidRPr="00B157FB">
          <w:rPr>
            <w:webHidden/>
          </w:rPr>
          <w:fldChar w:fldCharType="separate"/>
        </w:r>
        <w:r w:rsidR="00374247">
          <w:rPr>
            <w:webHidden/>
          </w:rPr>
          <w:t>10</w:t>
        </w:r>
        <w:r w:rsidRPr="00B157FB">
          <w:rPr>
            <w:webHidden/>
          </w:rPr>
          <w:fldChar w:fldCharType="end"/>
        </w:r>
      </w:hyperlink>
    </w:p>
    <w:p w:rsidR="00B157FB" w:rsidRPr="00B157FB" w:rsidRDefault="00B157FB" w:rsidP="00C30932">
      <w:pPr>
        <w:pStyle w:val="TOC1"/>
        <w:rPr>
          <w:rStyle w:val="Hyperlink"/>
        </w:rPr>
      </w:pPr>
    </w:p>
    <w:p w:rsidR="00B157FB" w:rsidRPr="00B157FB" w:rsidRDefault="00B157FB" w:rsidP="00C30932">
      <w:pPr>
        <w:pStyle w:val="TOC1"/>
        <w:rPr>
          <w:rFonts w:ascii="Times New Roman" w:hAnsi="Times New Roman"/>
          <w:lang w:val="en-US"/>
        </w:rPr>
      </w:pPr>
      <w:hyperlink w:anchor="_Toc181605575" w:history="1">
        <w:r w:rsidRPr="00B157FB">
          <w:rPr>
            <w:rStyle w:val="Hyperlink"/>
            <w:b/>
          </w:rPr>
          <w:t>Margin</w:t>
        </w:r>
        <w:r w:rsidRPr="00B157FB">
          <w:rPr>
            <w:webHidden/>
          </w:rPr>
          <w:tab/>
        </w:r>
        <w:r w:rsidRPr="00B157FB">
          <w:rPr>
            <w:webHidden/>
          </w:rPr>
          <w:fldChar w:fldCharType="begin"/>
        </w:r>
        <w:r w:rsidRPr="00B157FB">
          <w:rPr>
            <w:webHidden/>
          </w:rPr>
          <w:instrText xml:space="preserve"> PAGEREF _Toc181605575 \h </w:instrText>
        </w:r>
        <w:r w:rsidRPr="00B157FB">
          <w:rPr>
            <w:webHidden/>
          </w:rPr>
          <w:fldChar w:fldCharType="separate"/>
        </w:r>
        <w:r w:rsidR="00374247">
          <w:rPr>
            <w:webHidden/>
          </w:rPr>
          <w:t>11</w:t>
        </w:r>
        <w:r w:rsidRPr="00B157FB">
          <w:rPr>
            <w:webHidden/>
          </w:rPr>
          <w:fldChar w:fldCharType="end"/>
        </w:r>
      </w:hyperlink>
    </w:p>
    <w:p w:rsidR="00B157FB" w:rsidRPr="00B157FB" w:rsidRDefault="00B157FB" w:rsidP="00C30932">
      <w:pPr>
        <w:pStyle w:val="TOC1"/>
        <w:rPr>
          <w:rStyle w:val="Hyperlink"/>
        </w:rPr>
      </w:pPr>
    </w:p>
    <w:p w:rsidR="00B157FB" w:rsidRPr="00B157FB" w:rsidRDefault="00B157FB" w:rsidP="00C30932">
      <w:pPr>
        <w:pStyle w:val="TOC1"/>
        <w:rPr>
          <w:rFonts w:ascii="Times New Roman" w:hAnsi="Times New Roman"/>
          <w:lang w:val="en-US"/>
        </w:rPr>
      </w:pPr>
      <w:hyperlink w:anchor="_Toc181605576" w:history="1">
        <w:r w:rsidRPr="00B157FB">
          <w:rPr>
            <w:rStyle w:val="Hyperlink"/>
            <w:b/>
          </w:rPr>
          <w:t>Allowed Revenue (S</w:t>
        </w:r>
        <w:r w:rsidRPr="00B157FB">
          <w:rPr>
            <w:rStyle w:val="Hyperlink"/>
            <w:b/>
            <w:vertAlign w:val="subscript"/>
          </w:rPr>
          <w:t>t</w:t>
        </w:r>
        <w:r w:rsidRPr="00B157FB">
          <w:rPr>
            <w:rStyle w:val="Hyperlink"/>
            <w:b/>
          </w:rPr>
          <w:t>)</w:t>
        </w:r>
        <w:r w:rsidRPr="00B157FB">
          <w:rPr>
            <w:webHidden/>
          </w:rPr>
          <w:tab/>
        </w:r>
        <w:r w:rsidRPr="00B157FB">
          <w:rPr>
            <w:webHidden/>
          </w:rPr>
          <w:fldChar w:fldCharType="begin"/>
        </w:r>
        <w:r w:rsidRPr="00B157FB">
          <w:rPr>
            <w:webHidden/>
          </w:rPr>
          <w:instrText xml:space="preserve"> PAGEREF _Toc181605576 \h </w:instrText>
        </w:r>
        <w:r w:rsidRPr="00B157FB">
          <w:rPr>
            <w:webHidden/>
          </w:rPr>
          <w:fldChar w:fldCharType="separate"/>
        </w:r>
        <w:r w:rsidR="00374247">
          <w:rPr>
            <w:webHidden/>
          </w:rPr>
          <w:t>11</w:t>
        </w:r>
        <w:r w:rsidRPr="00B157FB">
          <w:rPr>
            <w:webHidden/>
          </w:rPr>
          <w:fldChar w:fldCharType="end"/>
        </w:r>
      </w:hyperlink>
    </w:p>
    <w:p w:rsidR="00B157FB" w:rsidRPr="00B157FB" w:rsidRDefault="00B157FB" w:rsidP="00C30932">
      <w:pPr>
        <w:pStyle w:val="TOC1"/>
        <w:rPr>
          <w:rStyle w:val="Hyperlink"/>
        </w:rPr>
      </w:pPr>
    </w:p>
    <w:p w:rsidR="00B157FB" w:rsidRPr="00B157FB" w:rsidRDefault="00B157FB" w:rsidP="00C30932">
      <w:pPr>
        <w:pStyle w:val="TOC1"/>
        <w:rPr>
          <w:rFonts w:ascii="Times New Roman" w:hAnsi="Times New Roman"/>
          <w:lang w:val="en-US"/>
        </w:rPr>
      </w:pPr>
      <w:hyperlink w:anchor="_Toc181605577" w:history="1">
        <w:r w:rsidRPr="00B157FB">
          <w:rPr>
            <w:rStyle w:val="Hyperlink"/>
            <w:b/>
          </w:rPr>
          <w:t>X Factor</w:t>
        </w:r>
        <w:r w:rsidRPr="00B157FB">
          <w:rPr>
            <w:webHidden/>
          </w:rPr>
          <w:tab/>
        </w:r>
        <w:r w:rsidRPr="00B157FB">
          <w:rPr>
            <w:webHidden/>
          </w:rPr>
          <w:fldChar w:fldCharType="begin"/>
        </w:r>
        <w:r w:rsidRPr="00B157FB">
          <w:rPr>
            <w:webHidden/>
          </w:rPr>
          <w:instrText xml:space="preserve"> PAGEREF _Toc181605577 \h </w:instrText>
        </w:r>
        <w:r w:rsidRPr="00B157FB">
          <w:rPr>
            <w:webHidden/>
          </w:rPr>
          <w:fldChar w:fldCharType="separate"/>
        </w:r>
        <w:r w:rsidR="00374247">
          <w:rPr>
            <w:webHidden/>
          </w:rPr>
          <w:t>12</w:t>
        </w:r>
        <w:r w:rsidRPr="00B157FB">
          <w:rPr>
            <w:webHidden/>
          </w:rPr>
          <w:fldChar w:fldCharType="end"/>
        </w:r>
      </w:hyperlink>
    </w:p>
    <w:p w:rsidR="00C30932" w:rsidRDefault="0025264C" w:rsidP="00B504A5">
      <w:pPr>
        <w:ind w:left="374"/>
        <w:jc w:val="both"/>
        <w:rPr>
          <w:rFonts w:ascii="Times New Roman" w:hAnsi="Times New Roman"/>
          <w:noProof/>
          <w:lang w:val="en-US"/>
        </w:rPr>
      </w:pPr>
      <w:r w:rsidRPr="0025264C">
        <w:fldChar w:fldCharType="end"/>
      </w:r>
      <w:r w:rsidR="00C30932">
        <w:fldChar w:fldCharType="begin"/>
      </w:r>
      <w:r w:rsidR="00C30932">
        <w:instrText xml:space="preserve"> TOC \o "1-3" \h \z \u </w:instrText>
      </w:r>
      <w:r w:rsidR="00C30932">
        <w:fldChar w:fldCharType="separate"/>
      </w:r>
    </w:p>
    <w:p w:rsidR="00C30932" w:rsidRPr="00C30932" w:rsidRDefault="00C30932" w:rsidP="00C30932">
      <w:pPr>
        <w:pStyle w:val="TOC1"/>
        <w:rPr>
          <w:rFonts w:ascii="Times New Roman" w:hAnsi="Times New Roman"/>
          <w:lang w:val="en-US"/>
        </w:rPr>
      </w:pPr>
      <w:hyperlink w:anchor="_Toc184009301" w:history="1">
        <w:r w:rsidRPr="00C30932">
          <w:rPr>
            <w:rStyle w:val="Hyperlink"/>
            <w:b/>
          </w:rPr>
          <w:t>Energy Efficiency</w:t>
        </w:r>
        <w:r w:rsidRPr="00C30932">
          <w:rPr>
            <w:webHidden/>
          </w:rPr>
          <w:tab/>
        </w:r>
        <w:r w:rsidRPr="00C30932">
          <w:rPr>
            <w:webHidden/>
          </w:rPr>
          <w:fldChar w:fldCharType="begin"/>
        </w:r>
        <w:r w:rsidRPr="00C30932">
          <w:rPr>
            <w:webHidden/>
          </w:rPr>
          <w:instrText xml:space="preserve"> PAGEREF _Toc184009301 \h </w:instrText>
        </w:r>
        <w:r w:rsidRPr="00C30932">
          <w:rPr>
            <w:webHidden/>
          </w:rPr>
          <w:fldChar w:fldCharType="separate"/>
        </w:r>
        <w:r w:rsidR="00374247">
          <w:rPr>
            <w:webHidden/>
          </w:rPr>
          <w:t>12</w:t>
        </w:r>
        <w:r w:rsidRPr="00C30932">
          <w:rPr>
            <w:webHidden/>
          </w:rPr>
          <w:fldChar w:fldCharType="end"/>
        </w:r>
      </w:hyperlink>
    </w:p>
    <w:p w:rsidR="00C30932" w:rsidRDefault="00C30932" w:rsidP="00B41129">
      <w:pPr>
        <w:jc w:val="both"/>
        <w:rPr>
          <w:b/>
          <w:sz w:val="28"/>
          <w:szCs w:val="28"/>
        </w:rPr>
      </w:pPr>
      <w:r>
        <w:rPr>
          <w:b/>
          <w:sz w:val="28"/>
          <w:szCs w:val="28"/>
        </w:rPr>
        <w:fldChar w:fldCharType="end"/>
      </w:r>
    </w:p>
    <w:p w:rsidR="00F0740B" w:rsidRPr="00C30932" w:rsidRDefault="00C30932" w:rsidP="00B41129">
      <w:pPr>
        <w:jc w:val="both"/>
        <w:rPr>
          <w:b/>
          <w:sz w:val="28"/>
          <w:szCs w:val="28"/>
        </w:rPr>
      </w:pPr>
      <w:r>
        <w:rPr>
          <w:b/>
          <w:sz w:val="28"/>
          <w:szCs w:val="28"/>
        </w:rPr>
        <w:br w:type="page"/>
      </w:r>
      <w:r w:rsidR="00F0740B" w:rsidRPr="000A7094">
        <w:rPr>
          <w:b/>
          <w:sz w:val="40"/>
          <w:szCs w:val="40"/>
        </w:rPr>
        <w:lastRenderedPageBreak/>
        <w:t>Executive Summary</w:t>
      </w:r>
      <w:r w:rsidR="0025264C" w:rsidRPr="000A7094">
        <w:rPr>
          <w:b/>
          <w:sz w:val="40"/>
          <w:szCs w:val="40"/>
        </w:rPr>
        <w:fldChar w:fldCharType="begin"/>
      </w:r>
      <w:r w:rsidR="0025264C" w:rsidRPr="000A7094">
        <w:rPr>
          <w:b/>
          <w:sz w:val="40"/>
          <w:szCs w:val="40"/>
        </w:rPr>
        <w:instrText xml:space="preserve"> TC "Executive Summary" \f A \l "1" </w:instrText>
      </w:r>
      <w:r w:rsidR="0025264C" w:rsidRPr="000A7094">
        <w:rPr>
          <w:b/>
          <w:sz w:val="40"/>
          <w:szCs w:val="40"/>
        </w:rPr>
        <w:fldChar w:fldCharType="end"/>
      </w:r>
      <w:r w:rsidR="00B157FB" w:rsidRPr="000A7094">
        <w:rPr>
          <w:b/>
          <w:sz w:val="40"/>
          <w:szCs w:val="40"/>
        </w:rPr>
        <w:fldChar w:fldCharType="begin"/>
      </w:r>
      <w:r w:rsidR="00B157FB" w:rsidRPr="000A7094">
        <w:rPr>
          <w:b/>
          <w:sz w:val="40"/>
          <w:szCs w:val="40"/>
        </w:rPr>
        <w:instrText xml:space="preserve"> TC "</w:instrText>
      </w:r>
      <w:bookmarkStart w:id="4" w:name="_Toc181605559"/>
      <w:r w:rsidR="00B157FB" w:rsidRPr="000A7094">
        <w:rPr>
          <w:b/>
          <w:sz w:val="40"/>
          <w:szCs w:val="40"/>
        </w:rPr>
        <w:instrText>Executive Summary</w:instrText>
      </w:r>
      <w:bookmarkEnd w:id="4"/>
      <w:r w:rsidR="00B157FB" w:rsidRPr="000A7094">
        <w:rPr>
          <w:b/>
          <w:sz w:val="40"/>
          <w:szCs w:val="40"/>
        </w:rPr>
        <w:instrText xml:space="preserve">" \f C \l "1" </w:instrText>
      </w:r>
      <w:r w:rsidR="00B157FB" w:rsidRPr="000A7094">
        <w:rPr>
          <w:b/>
          <w:sz w:val="40"/>
          <w:szCs w:val="40"/>
        </w:rPr>
        <w:fldChar w:fldCharType="end"/>
      </w:r>
    </w:p>
    <w:p w:rsidR="00D80C6E" w:rsidRPr="00D90E53" w:rsidRDefault="00D80C6E" w:rsidP="00B41129">
      <w:pPr>
        <w:jc w:val="both"/>
      </w:pPr>
    </w:p>
    <w:p w:rsidR="00950AC1" w:rsidRDefault="00950AC1" w:rsidP="00B41129">
      <w:pPr>
        <w:jc w:val="both"/>
      </w:pPr>
      <w:r>
        <w:t>T</w:t>
      </w:r>
      <w:r w:rsidR="00DC5C81" w:rsidRPr="00D90E53">
        <w:t>his document form</w:t>
      </w:r>
      <w:r>
        <w:t>s</w:t>
      </w:r>
      <w:r w:rsidR="00DC5C81" w:rsidRPr="00D90E53">
        <w:t xml:space="preserve"> a further continuation of NIE Supply’s present price control (200</w:t>
      </w:r>
      <w:r>
        <w:t>0 – 2005, extended 2005 – 2007); t</w:t>
      </w:r>
      <w:r w:rsidR="00DC5C81" w:rsidRPr="00D90E53">
        <w:t xml:space="preserve">his extension covers </w:t>
      </w:r>
      <w:smartTag w:uri="urn:schemas-microsoft-com:office:smarttags" w:element="date">
        <w:smartTagPr>
          <w:attr w:name="Month" w:val="4"/>
          <w:attr w:name="Day" w:val="1"/>
          <w:attr w:name="Year" w:val="2007"/>
        </w:smartTagPr>
        <w:r w:rsidR="00213EC0">
          <w:t>1</w:t>
        </w:r>
        <w:r w:rsidR="00213EC0" w:rsidRPr="00213EC0">
          <w:rPr>
            <w:vertAlign w:val="superscript"/>
          </w:rPr>
          <w:t>st</w:t>
        </w:r>
        <w:r w:rsidR="00213EC0">
          <w:t xml:space="preserve"> </w:t>
        </w:r>
        <w:r w:rsidR="00DC5C81" w:rsidRPr="00D90E53">
          <w:t>April 2007</w:t>
        </w:r>
      </w:smartTag>
      <w:r w:rsidR="00DC5C81" w:rsidRPr="00D90E53">
        <w:t xml:space="preserve"> until </w:t>
      </w:r>
      <w:smartTag w:uri="urn:schemas-microsoft-com:office:smarttags" w:element="date">
        <w:smartTagPr>
          <w:attr w:name="Month" w:val="3"/>
          <w:attr w:name="Day" w:val="31"/>
          <w:attr w:name="Year" w:val="2009"/>
        </w:smartTagPr>
        <w:r w:rsidR="00213EC0">
          <w:t>31</w:t>
        </w:r>
        <w:r w:rsidR="00213EC0" w:rsidRPr="00213EC0">
          <w:rPr>
            <w:vertAlign w:val="superscript"/>
          </w:rPr>
          <w:t>st</w:t>
        </w:r>
        <w:r w:rsidR="00213EC0">
          <w:t xml:space="preserve"> </w:t>
        </w:r>
        <w:r w:rsidR="00DC5C81" w:rsidRPr="00D90E53">
          <w:t>March 2009</w:t>
        </w:r>
      </w:smartTag>
      <w:r w:rsidR="00DC5C81" w:rsidRPr="00D90E53">
        <w:t xml:space="preserve">, straddling the introduction of new all-island wholesale arrangements and the introduction of full </w:t>
      </w:r>
      <w:r w:rsidR="00D27B19" w:rsidRPr="00D90E53">
        <w:t xml:space="preserve">retail </w:t>
      </w:r>
      <w:r w:rsidR="00DC5C81" w:rsidRPr="00D90E53">
        <w:t xml:space="preserve">market opening from </w:t>
      </w:r>
      <w:smartTag w:uri="urn:schemas-microsoft-com:office:smarttags" w:element="date">
        <w:smartTagPr>
          <w:attr w:name="Month" w:val="11"/>
          <w:attr w:name="Day" w:val="1"/>
          <w:attr w:name="Year" w:val="2007"/>
        </w:smartTagPr>
        <w:r w:rsidR="00DC5C81" w:rsidRPr="00D90E53">
          <w:t>1</w:t>
        </w:r>
        <w:r w:rsidR="00DC5C81" w:rsidRPr="00D90E53">
          <w:rPr>
            <w:vertAlign w:val="superscript"/>
          </w:rPr>
          <w:t>st</w:t>
        </w:r>
        <w:r w:rsidR="00DC5C81" w:rsidRPr="00D90E53">
          <w:t xml:space="preserve"> November 2007</w:t>
        </w:r>
      </w:smartTag>
      <w:r w:rsidR="00DC5C81" w:rsidRPr="00D90E53">
        <w:t xml:space="preserve">.  </w:t>
      </w:r>
    </w:p>
    <w:p w:rsidR="00950AC1" w:rsidRDefault="00950AC1" w:rsidP="00B41129">
      <w:pPr>
        <w:jc w:val="both"/>
      </w:pPr>
    </w:p>
    <w:p w:rsidR="00950AC1" w:rsidRDefault="00DC5C81" w:rsidP="00B41129">
      <w:pPr>
        <w:jc w:val="both"/>
      </w:pPr>
      <w:r w:rsidRPr="00D90E53">
        <w:t xml:space="preserve">These new arrangements bring change and uncertainty for all </w:t>
      </w:r>
      <w:r w:rsidR="000B32C0">
        <w:t>market participants</w:t>
      </w:r>
      <w:r w:rsidRPr="00D90E53">
        <w:t>, not least NIE Supply.  The changes in the market environment have necessitated transfers of costs across NIE businesses to facilitate market access for new suppliers including transfer of meter</w:t>
      </w:r>
      <w:r w:rsidR="001E7370">
        <w:t xml:space="preserve"> reading </w:t>
      </w:r>
      <w:r w:rsidRPr="00D90E53">
        <w:t xml:space="preserve">and the associated </w:t>
      </w:r>
      <w:r w:rsidR="001E7370">
        <w:t xml:space="preserve">Keypad </w:t>
      </w:r>
      <w:r w:rsidRPr="00D90E53">
        <w:t>asset base from NIE Supply to the Transmission and Distribution business which will reduce NIE Supply’s costs each year, although customers will still pay for these, just through a diff</w:t>
      </w:r>
      <w:r w:rsidR="00950AC1">
        <w:t>erent component of the tariff.</w:t>
      </w:r>
    </w:p>
    <w:p w:rsidR="00950AC1" w:rsidRDefault="00950AC1" w:rsidP="00B41129">
      <w:pPr>
        <w:jc w:val="both"/>
      </w:pPr>
    </w:p>
    <w:p w:rsidR="00DC5C81" w:rsidRPr="00D90E53" w:rsidRDefault="00DC5C81" w:rsidP="00B41129">
      <w:pPr>
        <w:jc w:val="both"/>
      </w:pPr>
      <w:r w:rsidRPr="00D90E53">
        <w:t>This paper outlines the Utility Regulator’s decisions with regard to the supply business entitlement, that is, the S</w:t>
      </w:r>
      <w:r w:rsidRPr="00D90E53">
        <w:rPr>
          <w:vertAlign w:val="subscript"/>
        </w:rPr>
        <w:t>t</w:t>
      </w:r>
      <w:r w:rsidRPr="00D90E53">
        <w:t xml:space="preserve"> term.  The decisions have been made with regard to the public consultation (th</w:t>
      </w:r>
      <w:r w:rsidR="00D27B19" w:rsidRPr="00D90E53">
        <w:t>ree</w:t>
      </w:r>
      <w:r w:rsidRPr="00D90E53">
        <w:t xml:space="preserve"> responses) and discussions with NIE Supply.</w:t>
      </w:r>
    </w:p>
    <w:p w:rsidR="00DC5C81" w:rsidRPr="00D90E53" w:rsidRDefault="00DC5C81" w:rsidP="00B41129">
      <w:pPr>
        <w:jc w:val="both"/>
      </w:pPr>
      <w:r w:rsidRPr="00D90E53">
        <w:tab/>
      </w:r>
      <w:r w:rsidRPr="00D90E53">
        <w:tab/>
      </w:r>
    </w:p>
    <w:p w:rsidR="00DC5C81" w:rsidRPr="00D90E53" w:rsidRDefault="00DC5C81" w:rsidP="00C30932">
      <w:pPr>
        <w:jc w:val="both"/>
        <w:outlineLvl w:val="0"/>
      </w:pPr>
      <w:bookmarkStart w:id="5" w:name="_Toc184009276"/>
      <w:r w:rsidRPr="00D90E53">
        <w:t>Form:</w:t>
      </w:r>
      <w:r w:rsidRPr="00D90E53">
        <w:tab/>
      </w:r>
      <w:r w:rsidRPr="00D90E53">
        <w:tab/>
      </w:r>
      <w:r w:rsidRPr="00D90E53">
        <w:tab/>
        <w:t>RPI-X</w:t>
      </w:r>
      <w:r w:rsidR="000C49B8" w:rsidRPr="00D90E53">
        <w:t>.</w:t>
      </w:r>
      <w:bookmarkEnd w:id="5"/>
    </w:p>
    <w:p w:rsidR="00DC5C81" w:rsidRPr="00D90E53" w:rsidRDefault="00DC5C81" w:rsidP="00B41129">
      <w:pPr>
        <w:jc w:val="both"/>
      </w:pPr>
    </w:p>
    <w:p w:rsidR="00DC5C81" w:rsidRPr="00D90E53" w:rsidRDefault="00DC5C81" w:rsidP="00B41129">
      <w:pPr>
        <w:jc w:val="both"/>
      </w:pPr>
      <w:r w:rsidRPr="00D90E53">
        <w:t>Scope:</w:t>
      </w:r>
      <w:r w:rsidRPr="00D90E53">
        <w:tab/>
      </w:r>
      <w:r w:rsidRPr="00D90E53">
        <w:tab/>
      </w:r>
      <w:r w:rsidRPr="00D90E53">
        <w:tab/>
        <w:t>All customer classes</w:t>
      </w:r>
      <w:r w:rsidR="000C49B8" w:rsidRPr="00D90E53">
        <w:t>.</w:t>
      </w:r>
    </w:p>
    <w:p w:rsidR="00DC5C81" w:rsidRPr="00D90E53" w:rsidRDefault="00DC5C81" w:rsidP="00B41129">
      <w:pPr>
        <w:jc w:val="both"/>
      </w:pPr>
    </w:p>
    <w:p w:rsidR="00DC5C81" w:rsidRPr="00D90E53" w:rsidRDefault="00DC5C81" w:rsidP="00B41129">
      <w:pPr>
        <w:jc w:val="both"/>
      </w:pPr>
      <w:r w:rsidRPr="00D90E53">
        <w:t>Duration:</w:t>
      </w:r>
      <w:r w:rsidRPr="00D90E53">
        <w:tab/>
      </w:r>
      <w:r w:rsidRPr="00D90E53">
        <w:tab/>
      </w:r>
      <w:smartTag w:uri="urn:schemas-microsoft-com:office:smarttags" w:element="date">
        <w:smartTagPr>
          <w:attr w:name="Month" w:val="4"/>
          <w:attr w:name="Day" w:val="1"/>
          <w:attr w:name="Year" w:val="2007"/>
        </w:smartTagPr>
        <w:r w:rsidR="001E7370">
          <w:t>1</w:t>
        </w:r>
        <w:r w:rsidR="001E7370" w:rsidRPr="001E7370">
          <w:rPr>
            <w:vertAlign w:val="superscript"/>
          </w:rPr>
          <w:t>st</w:t>
        </w:r>
        <w:r w:rsidR="001E7370">
          <w:t xml:space="preserve"> </w:t>
        </w:r>
        <w:r w:rsidRPr="00D90E53">
          <w:t>April 2007</w:t>
        </w:r>
      </w:smartTag>
      <w:r w:rsidRPr="00D90E53">
        <w:t xml:space="preserve"> </w:t>
      </w:r>
      <w:smartTag w:uri="urn:schemas-microsoft-com:office:smarttags" w:element="date">
        <w:smartTagPr>
          <w:attr w:name="Month" w:val="3"/>
          <w:attr w:name="Day" w:val="31"/>
          <w:attr w:name="Year" w:val="2009"/>
        </w:smartTagPr>
        <w:r w:rsidRPr="00D90E53">
          <w:t xml:space="preserve">– </w:t>
        </w:r>
        <w:r w:rsidR="001E7370">
          <w:t>31</w:t>
        </w:r>
        <w:r w:rsidR="001E7370" w:rsidRPr="001E7370">
          <w:rPr>
            <w:vertAlign w:val="superscript"/>
          </w:rPr>
          <w:t>st</w:t>
        </w:r>
        <w:r w:rsidR="001E7370">
          <w:t xml:space="preserve"> </w:t>
        </w:r>
        <w:r w:rsidRPr="00D90E53">
          <w:t>March 2009</w:t>
        </w:r>
      </w:smartTag>
      <w:r w:rsidR="000C49B8" w:rsidRPr="00D90E53">
        <w:t>.</w:t>
      </w:r>
    </w:p>
    <w:p w:rsidR="00DC5C81" w:rsidRPr="00D90E53" w:rsidRDefault="00DC5C81" w:rsidP="00B41129">
      <w:pPr>
        <w:jc w:val="both"/>
      </w:pPr>
    </w:p>
    <w:p w:rsidR="00DC5C81" w:rsidRPr="00D90E53" w:rsidRDefault="00DC5C81" w:rsidP="000C49B8">
      <w:pPr>
        <w:ind w:left="2188" w:hanging="2245"/>
      </w:pPr>
      <w:r w:rsidRPr="00D90E53">
        <w:t>Operating Costs:</w:t>
      </w:r>
      <w:r w:rsidRPr="00D90E53">
        <w:tab/>
        <w:t>Adjustments to Salaries and Bad Debt</w:t>
      </w:r>
      <w:r w:rsidR="009517C7">
        <w:t xml:space="preserve"> provision</w:t>
      </w:r>
      <w:r w:rsidR="000C49B8" w:rsidRPr="00D90E53">
        <w:t>; current pension costs included</w:t>
      </w:r>
      <w:r w:rsidR="00D27B19" w:rsidRPr="00D90E53">
        <w:t xml:space="preserve"> and </w:t>
      </w:r>
      <w:r w:rsidR="000C49B8" w:rsidRPr="00D90E53">
        <w:t xml:space="preserve">deficit </w:t>
      </w:r>
      <w:r w:rsidR="00D27B19" w:rsidRPr="00D90E53">
        <w:t>to be treated as 100% pass-through</w:t>
      </w:r>
      <w:r w:rsidR="000C49B8" w:rsidRPr="00D90E53">
        <w:t xml:space="preserve">; total operating expenditure for 2007/08 decreases by </w:t>
      </w:r>
      <w:r w:rsidR="00950AC1" w:rsidRPr="00950AC1">
        <w:t>16</w:t>
      </w:r>
      <w:r w:rsidR="000C49B8" w:rsidRPr="00950AC1">
        <w:t>%</w:t>
      </w:r>
      <w:r w:rsidR="000C49B8" w:rsidRPr="00D90E53">
        <w:t xml:space="preserve"> on 2006/07 and increases during 2008/09 by </w:t>
      </w:r>
      <w:r w:rsidR="00950AC1" w:rsidRPr="00950AC1">
        <w:t>1.5</w:t>
      </w:r>
      <w:r w:rsidR="000C49B8" w:rsidRPr="00950AC1">
        <w:t>%</w:t>
      </w:r>
      <w:r w:rsidR="000C49B8" w:rsidRPr="00D90E53">
        <w:t xml:space="preserve"> on 2007/08.</w:t>
      </w:r>
    </w:p>
    <w:p w:rsidR="000C49B8" w:rsidRPr="00D90E53" w:rsidRDefault="000C49B8" w:rsidP="00B41129">
      <w:pPr>
        <w:jc w:val="both"/>
      </w:pPr>
    </w:p>
    <w:p w:rsidR="000C49B8" w:rsidRPr="00D90E53" w:rsidRDefault="000C49B8" w:rsidP="00B41129">
      <w:pPr>
        <w:jc w:val="both"/>
      </w:pPr>
      <w:r w:rsidRPr="00D90E53">
        <w:t>X Factor:</w:t>
      </w:r>
      <w:r w:rsidRPr="00D90E53">
        <w:tab/>
      </w:r>
      <w:r w:rsidRPr="00D90E53">
        <w:tab/>
        <w:t xml:space="preserve">Set at </w:t>
      </w:r>
      <w:r w:rsidR="00D27B19" w:rsidRPr="00D90E53">
        <w:t>0</w:t>
      </w:r>
      <w:r w:rsidRPr="00D90E53">
        <w:t xml:space="preserve"> for the price control period.</w:t>
      </w:r>
    </w:p>
    <w:p w:rsidR="000C49B8" w:rsidRPr="00D90E53" w:rsidRDefault="000C49B8" w:rsidP="00B41129">
      <w:pPr>
        <w:jc w:val="both"/>
      </w:pPr>
    </w:p>
    <w:p w:rsidR="006D64B5" w:rsidRPr="006D64B5" w:rsidRDefault="00F26A2E" w:rsidP="00954BB9">
      <w:pPr>
        <w:rPr>
          <w:b/>
          <w:sz w:val="40"/>
          <w:szCs w:val="40"/>
        </w:rPr>
      </w:pPr>
      <w:r w:rsidRPr="00D90E53">
        <w:t>Margin:</w:t>
      </w:r>
      <w:r w:rsidRPr="00D90E53">
        <w:tab/>
      </w:r>
      <w:r w:rsidR="00D27B19" w:rsidRPr="00D90E53">
        <w:tab/>
      </w:r>
      <w:r w:rsidR="000C49B8" w:rsidRPr="00D90E53">
        <w:t>Set at 1.8% as per the Regulatory Authorities’ previous decision</w:t>
      </w:r>
      <w:r w:rsidRPr="00D90E53">
        <w:t xml:space="preserve"> </w:t>
      </w:r>
      <w:r w:rsidR="00D27B19" w:rsidRPr="00D90E53">
        <w:tab/>
      </w:r>
      <w:r w:rsidR="00D27B19" w:rsidRPr="00D90E53">
        <w:tab/>
      </w:r>
      <w:r w:rsidR="00D27B19" w:rsidRPr="00D90E53">
        <w:tab/>
      </w:r>
      <w:r w:rsidRPr="00D90E53">
        <w:t>in relation to regulating PES businesses in the SEM</w:t>
      </w:r>
      <w:r w:rsidR="00971F24" w:rsidRPr="00D90E53">
        <w:t xml:space="preserve">. </w:t>
      </w:r>
      <w:r w:rsidR="00F026D6" w:rsidRPr="00D90E53">
        <w:br w:type="page"/>
      </w:r>
      <w:r w:rsidR="006D64B5">
        <w:rPr>
          <w:b/>
          <w:sz w:val="40"/>
          <w:szCs w:val="40"/>
        </w:rPr>
        <w:lastRenderedPageBreak/>
        <w:t>NIE Energy Supply Price Control</w:t>
      </w:r>
      <w:r w:rsidR="003E5F9C">
        <w:rPr>
          <w:b/>
          <w:sz w:val="40"/>
          <w:szCs w:val="40"/>
        </w:rPr>
        <w:t xml:space="preserve"> 2007 - 2009</w:t>
      </w:r>
    </w:p>
    <w:p w:rsidR="003E5F9C" w:rsidRDefault="003E5F9C" w:rsidP="00954BB9"/>
    <w:p w:rsidR="006D64B5" w:rsidRDefault="006D64B5" w:rsidP="00954BB9">
      <w:r>
        <w:t xml:space="preserve">The Supply business, previously held by NIE plc, was transferred to NIE Energy Limited on </w:t>
      </w:r>
      <w:smartTag w:uri="urn:schemas-microsoft-com:office:smarttags" w:element="date">
        <w:smartTagPr>
          <w:attr w:name="Month" w:val="11"/>
          <w:attr w:name="Day" w:val="1"/>
          <w:attr w:name="Year" w:val="2007"/>
        </w:smartTagPr>
        <w:r>
          <w:t>1</w:t>
        </w:r>
        <w:r w:rsidRPr="006D64B5">
          <w:rPr>
            <w:vertAlign w:val="superscript"/>
          </w:rPr>
          <w:t>st</w:t>
        </w:r>
        <w:r>
          <w:t xml:space="preserve"> November 2007</w:t>
        </w:r>
      </w:smartTag>
      <w:r>
        <w:t>; reference in this document to NIE Supply or the Supply</w:t>
      </w:r>
      <w:r w:rsidR="002C434D">
        <w:t xml:space="preserve"> business should be taken to refer to NIE Energy Supply business.</w:t>
      </w:r>
    </w:p>
    <w:p w:rsidR="002C434D" w:rsidRDefault="002C434D" w:rsidP="00954BB9"/>
    <w:p w:rsidR="002C434D" w:rsidRDefault="002C434D" w:rsidP="00954BB9"/>
    <w:p w:rsidR="00BF6038" w:rsidRPr="000A7094" w:rsidRDefault="00BF6038" w:rsidP="00954BB9">
      <w:pPr>
        <w:rPr>
          <w:b/>
          <w:sz w:val="40"/>
          <w:szCs w:val="40"/>
        </w:rPr>
      </w:pPr>
      <w:r w:rsidRPr="000A7094">
        <w:rPr>
          <w:b/>
          <w:sz w:val="40"/>
          <w:szCs w:val="40"/>
        </w:rPr>
        <w:t>Price Control to Date</w:t>
      </w:r>
      <w:r w:rsidR="0025264C" w:rsidRPr="000A7094">
        <w:rPr>
          <w:b/>
          <w:sz w:val="40"/>
          <w:szCs w:val="40"/>
        </w:rPr>
        <w:fldChar w:fldCharType="begin"/>
      </w:r>
      <w:r w:rsidR="0025264C" w:rsidRPr="000A7094">
        <w:rPr>
          <w:b/>
          <w:sz w:val="40"/>
          <w:szCs w:val="40"/>
        </w:rPr>
        <w:instrText xml:space="preserve"> TC "</w:instrText>
      </w:r>
      <w:bookmarkStart w:id="6" w:name="_Toc181605560"/>
      <w:r w:rsidR="0025264C" w:rsidRPr="000A7094">
        <w:rPr>
          <w:b/>
          <w:sz w:val="40"/>
          <w:szCs w:val="40"/>
        </w:rPr>
        <w:instrText>Price Control to Date</w:instrText>
      </w:r>
      <w:bookmarkEnd w:id="6"/>
      <w:r w:rsidR="0025264C" w:rsidRPr="000A7094">
        <w:rPr>
          <w:b/>
          <w:sz w:val="40"/>
          <w:szCs w:val="40"/>
        </w:rPr>
        <w:instrText xml:space="preserve">" \f C \l "1" </w:instrText>
      </w:r>
      <w:r w:rsidR="0025264C" w:rsidRPr="000A7094">
        <w:rPr>
          <w:b/>
          <w:sz w:val="40"/>
          <w:szCs w:val="40"/>
        </w:rPr>
        <w:fldChar w:fldCharType="end"/>
      </w:r>
    </w:p>
    <w:p w:rsidR="00D80C6E" w:rsidRPr="00D90E53" w:rsidRDefault="00D80C6E" w:rsidP="00B41129">
      <w:pPr>
        <w:jc w:val="both"/>
      </w:pPr>
    </w:p>
    <w:p w:rsidR="00F06E49" w:rsidRPr="00D90E53" w:rsidRDefault="00F06E49" w:rsidP="00B41129">
      <w:pPr>
        <w:jc w:val="both"/>
      </w:pPr>
      <w:r w:rsidRPr="00D90E53">
        <w:t xml:space="preserve">NIE Supply’s </w:t>
      </w:r>
      <w:r w:rsidR="001E7370">
        <w:t xml:space="preserve">current </w:t>
      </w:r>
      <w:r w:rsidRPr="00D90E53">
        <w:t xml:space="preserve">price control </w:t>
      </w:r>
      <w:r w:rsidR="00213EC0">
        <w:t>is</w:t>
      </w:r>
      <w:r w:rsidRPr="00D90E53">
        <w:t xml:space="preserve"> a two year extension of that set to run from April 2000</w:t>
      </w:r>
      <w:r w:rsidR="00FB4A29" w:rsidRPr="00D90E53">
        <w:t xml:space="preserve"> to March 2005</w:t>
      </w:r>
      <w:r w:rsidRPr="00D90E53">
        <w:t xml:space="preserve">.  The original price control included an incentive to roll-out keypad meters to 100,000 customers, </w:t>
      </w:r>
      <w:r w:rsidR="00FB4A29" w:rsidRPr="00D90E53">
        <w:t xml:space="preserve">to ensure </w:t>
      </w:r>
      <w:r w:rsidRPr="00D90E53">
        <w:t>£10</w:t>
      </w:r>
      <w:r w:rsidR="001E7370">
        <w:t xml:space="preserve"> </w:t>
      </w:r>
      <w:r w:rsidRPr="00D90E53">
        <w:t>m</w:t>
      </w:r>
      <w:r w:rsidR="001E7370">
        <w:t>illion</w:t>
      </w:r>
      <w:r w:rsidRPr="00D90E53">
        <w:t xml:space="preserve"> lifetime savings </w:t>
      </w:r>
      <w:r w:rsidR="001E7370">
        <w:t xml:space="preserve">by investing </w:t>
      </w:r>
      <w:r w:rsidRPr="00D90E53">
        <w:t xml:space="preserve">in energy efficiency measures, increasing sales of renewable energy and a reduction in allowed revenue </w:t>
      </w:r>
      <w:r w:rsidR="001E7370">
        <w:t>(</w:t>
      </w:r>
      <w:r w:rsidR="001E7370" w:rsidRPr="00D90E53">
        <w:t>S</w:t>
      </w:r>
      <w:r w:rsidR="001E7370" w:rsidRPr="00D90E53">
        <w:rPr>
          <w:vertAlign w:val="subscript"/>
        </w:rPr>
        <w:t>t</w:t>
      </w:r>
      <w:r w:rsidR="001E7370">
        <w:t xml:space="preserve">) </w:t>
      </w:r>
      <w:r w:rsidRPr="00D90E53">
        <w:t>of 3% in real terms per annum.  The extension to this control included a further 75,000 keypad meters, an additional £</w:t>
      </w:r>
      <w:r w:rsidR="001E7370">
        <w:t xml:space="preserve">6 </w:t>
      </w:r>
      <w:r w:rsidRPr="00D90E53">
        <w:t>m</w:t>
      </w:r>
      <w:r w:rsidR="001E7370">
        <w:t>illion</w:t>
      </w:r>
      <w:r w:rsidRPr="00D90E53">
        <w:t xml:space="preserve"> lifetime savings </w:t>
      </w:r>
      <w:r w:rsidR="001E7370">
        <w:t>from</w:t>
      </w:r>
      <w:r w:rsidRPr="00D90E53">
        <w:t xml:space="preserve"> energy efficiency measures, development of the eco-tariff and a 3% reduction in </w:t>
      </w:r>
      <w:r w:rsidR="00090526" w:rsidRPr="00D90E53">
        <w:t xml:space="preserve">operating costs in </w:t>
      </w:r>
      <w:r w:rsidRPr="00D90E53">
        <w:t>real terms for a further two years.</w:t>
      </w:r>
    </w:p>
    <w:p w:rsidR="00EA45E3" w:rsidRPr="00D90E53" w:rsidRDefault="00EA45E3" w:rsidP="00B41129">
      <w:pPr>
        <w:jc w:val="both"/>
      </w:pPr>
    </w:p>
    <w:p w:rsidR="00EA45E3" w:rsidRPr="00D90E53" w:rsidRDefault="00FB4A29" w:rsidP="00B41129">
      <w:pPr>
        <w:jc w:val="both"/>
      </w:pPr>
      <w:r w:rsidRPr="00D90E53">
        <w:t>The current price control has been successful in meeting these objectives; t</w:t>
      </w:r>
      <w:r w:rsidR="00EA45E3" w:rsidRPr="00D90E53">
        <w:t>he target of 175,000 keypad</w:t>
      </w:r>
      <w:r w:rsidR="001E7370">
        <w:t xml:space="preserve"> meters</w:t>
      </w:r>
      <w:r w:rsidR="00EA45E3" w:rsidRPr="00D90E53">
        <w:t xml:space="preserve"> has been surpassed</w:t>
      </w:r>
      <w:r w:rsidRPr="00D90E53">
        <w:t>,</w:t>
      </w:r>
      <w:r w:rsidR="00EA45E3" w:rsidRPr="00D90E53">
        <w:t xml:space="preserve"> the energy efficiency levy has produced almost 390,000 tonnes of carbon savings, almost £90million in customer savings and earned NIE an incentive of £1.95 million since 2000</w:t>
      </w:r>
      <w:r w:rsidR="009676D8" w:rsidRPr="00D90E53">
        <w:rPr>
          <w:rStyle w:val="EndnoteReference"/>
        </w:rPr>
        <w:endnoteReference w:id="1"/>
      </w:r>
      <w:r w:rsidR="00EA45E3" w:rsidRPr="00D90E53">
        <w:t>.</w:t>
      </w:r>
    </w:p>
    <w:p w:rsidR="00CD7106" w:rsidRPr="00D90E53" w:rsidRDefault="00CD7106" w:rsidP="00B41129">
      <w:pPr>
        <w:jc w:val="both"/>
      </w:pPr>
    </w:p>
    <w:p w:rsidR="00CD7106" w:rsidRDefault="00CD7106" w:rsidP="00B41129">
      <w:pPr>
        <w:jc w:val="both"/>
      </w:pPr>
    </w:p>
    <w:p w:rsidR="0059545C" w:rsidRPr="00D90E53" w:rsidRDefault="0059545C" w:rsidP="00B41129">
      <w:pPr>
        <w:jc w:val="both"/>
      </w:pPr>
    </w:p>
    <w:p w:rsidR="006472EA" w:rsidRPr="000A7094" w:rsidRDefault="006472EA" w:rsidP="00B41129">
      <w:pPr>
        <w:jc w:val="both"/>
        <w:rPr>
          <w:b/>
          <w:sz w:val="40"/>
          <w:szCs w:val="40"/>
        </w:rPr>
      </w:pPr>
      <w:r w:rsidRPr="000A7094">
        <w:rPr>
          <w:b/>
          <w:sz w:val="40"/>
          <w:szCs w:val="40"/>
        </w:rPr>
        <w:t>Changing Environment</w:t>
      </w:r>
      <w:r w:rsidR="0025264C" w:rsidRPr="000A7094">
        <w:rPr>
          <w:b/>
          <w:sz w:val="40"/>
          <w:szCs w:val="40"/>
        </w:rPr>
        <w:fldChar w:fldCharType="begin"/>
      </w:r>
      <w:r w:rsidR="0025264C" w:rsidRPr="000A7094">
        <w:rPr>
          <w:b/>
          <w:sz w:val="40"/>
          <w:szCs w:val="40"/>
        </w:rPr>
        <w:instrText xml:space="preserve"> TC "</w:instrText>
      </w:r>
      <w:bookmarkStart w:id="7" w:name="_Toc181605561"/>
      <w:r w:rsidR="0025264C" w:rsidRPr="000A7094">
        <w:rPr>
          <w:b/>
          <w:sz w:val="40"/>
          <w:szCs w:val="40"/>
        </w:rPr>
        <w:instrText>Changing Environment</w:instrText>
      </w:r>
      <w:bookmarkEnd w:id="7"/>
      <w:r w:rsidR="0025264C" w:rsidRPr="000A7094">
        <w:rPr>
          <w:b/>
          <w:sz w:val="40"/>
          <w:szCs w:val="40"/>
        </w:rPr>
        <w:instrText xml:space="preserve">" \f C \l "1" </w:instrText>
      </w:r>
      <w:r w:rsidR="0025264C" w:rsidRPr="000A7094">
        <w:rPr>
          <w:b/>
          <w:sz w:val="40"/>
          <w:szCs w:val="40"/>
        </w:rPr>
        <w:fldChar w:fldCharType="end"/>
      </w:r>
    </w:p>
    <w:p w:rsidR="00D80C6E" w:rsidRPr="00D90E53" w:rsidRDefault="00D80C6E" w:rsidP="00B41129">
      <w:pPr>
        <w:jc w:val="both"/>
      </w:pPr>
    </w:p>
    <w:p w:rsidR="006472EA" w:rsidRPr="00D90E53" w:rsidRDefault="006472EA" w:rsidP="00B41129">
      <w:pPr>
        <w:jc w:val="both"/>
      </w:pPr>
      <w:r w:rsidRPr="00D90E53">
        <w:t xml:space="preserve">A primary reason for the extension to the 2000 price control to cover the period 2005-2007 was the European Directive requirement to open the </w:t>
      </w:r>
      <w:r w:rsidR="00D27B19" w:rsidRPr="00D90E53">
        <w:t xml:space="preserve">retail electricity </w:t>
      </w:r>
      <w:r w:rsidRPr="00D90E53">
        <w:t xml:space="preserve">market to all customers, including domestic customers, by </w:t>
      </w:r>
      <w:smartTag w:uri="urn:schemas-microsoft-com:office:smarttags" w:element="date">
        <w:smartTagPr>
          <w:attr w:name="Year" w:val="2007"/>
          <w:attr w:name="Day" w:val="1"/>
          <w:attr w:name="Month" w:val="7"/>
        </w:smartTagPr>
        <w:r w:rsidR="00D27B19" w:rsidRPr="00D90E53">
          <w:t>1</w:t>
        </w:r>
        <w:r w:rsidR="00D27B19" w:rsidRPr="00D90E53">
          <w:rPr>
            <w:vertAlign w:val="superscript"/>
          </w:rPr>
          <w:t>st</w:t>
        </w:r>
        <w:r w:rsidR="00D27B19" w:rsidRPr="00D90E53">
          <w:t xml:space="preserve"> </w:t>
        </w:r>
        <w:r w:rsidRPr="00D90E53">
          <w:t>July 2007</w:t>
        </w:r>
      </w:smartTag>
      <w:r w:rsidRPr="00D90E53">
        <w:t xml:space="preserve">.  With the development of the Single Electricity Market, it was decided to delay </w:t>
      </w:r>
      <w:r w:rsidR="00D27B19" w:rsidRPr="00D90E53">
        <w:t xml:space="preserve">retail </w:t>
      </w:r>
      <w:r w:rsidRPr="00D90E53">
        <w:t xml:space="preserve">market opening until </w:t>
      </w:r>
      <w:smartTag w:uri="urn:schemas-microsoft-com:office:smarttags" w:element="date">
        <w:smartTagPr>
          <w:attr w:name="Month" w:val="11"/>
          <w:attr w:name="Day" w:val="1"/>
          <w:attr w:name="Year" w:val="2007"/>
        </w:smartTagPr>
        <w:r w:rsidRPr="00D90E53">
          <w:t>1 November 2007</w:t>
        </w:r>
      </w:smartTag>
      <w:r w:rsidRPr="00D90E53">
        <w:t xml:space="preserve"> </w:t>
      </w:r>
      <w:r w:rsidR="001E7370">
        <w:t>to coincide with the Go-Live date for the all-island wholesale market</w:t>
      </w:r>
      <w:r w:rsidRPr="00D90E53">
        <w:t>.</w:t>
      </w:r>
    </w:p>
    <w:p w:rsidR="006472EA" w:rsidRPr="00D90E53" w:rsidRDefault="006472EA" w:rsidP="00B41129">
      <w:pPr>
        <w:jc w:val="both"/>
      </w:pPr>
    </w:p>
    <w:p w:rsidR="006472EA" w:rsidRPr="00D90E53" w:rsidRDefault="006472EA" w:rsidP="00B41129">
      <w:pPr>
        <w:jc w:val="both"/>
      </w:pPr>
      <w:r w:rsidRPr="00D90E53">
        <w:t xml:space="preserve">The changes to the market will also bring change for NIE’s </w:t>
      </w:r>
      <w:r w:rsidR="00E37A2F" w:rsidRPr="00D90E53">
        <w:t>s</w:t>
      </w:r>
      <w:r w:rsidRPr="00D90E53">
        <w:t xml:space="preserve">upply business; </w:t>
      </w:r>
      <w:r w:rsidR="00E135DD">
        <w:t xml:space="preserve">NIE’s Supply and PPB businesses </w:t>
      </w:r>
      <w:r w:rsidR="000B32C0">
        <w:t>have been</w:t>
      </w:r>
      <w:r w:rsidR="00E135DD">
        <w:t xml:space="preserve"> </w:t>
      </w:r>
      <w:r w:rsidR="001E7370">
        <w:t>transferred to</w:t>
      </w:r>
      <w:r w:rsidR="00E135DD">
        <w:t xml:space="preserve"> NIE Energy and the </w:t>
      </w:r>
      <w:r w:rsidRPr="00D90E53">
        <w:t xml:space="preserve">Supply </w:t>
      </w:r>
      <w:r w:rsidR="00E135DD">
        <w:t xml:space="preserve">business </w:t>
      </w:r>
      <w:r w:rsidRPr="00D90E53">
        <w:t xml:space="preserve">is required to purchase electricity from the pool and </w:t>
      </w:r>
      <w:r w:rsidR="00FB4A29" w:rsidRPr="00D90E53">
        <w:t xml:space="preserve">is able to </w:t>
      </w:r>
      <w:r w:rsidRPr="00D90E53">
        <w:t>hedge the price/quantity risk by purchasing Contracts for Differences</w:t>
      </w:r>
      <w:r w:rsidR="00E37A2F" w:rsidRPr="00D90E53">
        <w:t xml:space="preserve"> (CfDs)</w:t>
      </w:r>
      <w:r w:rsidRPr="00D90E53">
        <w:t xml:space="preserve">.  </w:t>
      </w:r>
      <w:r w:rsidR="00090526" w:rsidRPr="00D90E53">
        <w:t xml:space="preserve">(These hedging </w:t>
      </w:r>
      <w:r w:rsidR="00FB4A29" w:rsidRPr="00D90E53">
        <w:t>arrangements have been agreed for the first year of operation o</w:t>
      </w:r>
      <w:r w:rsidR="00977F8F" w:rsidRPr="00D90E53">
        <w:t>f the Single Electricity M</w:t>
      </w:r>
      <w:r w:rsidR="00090526" w:rsidRPr="00D90E53">
        <w:t>arket</w:t>
      </w:r>
      <w:r w:rsidR="00FB4A29" w:rsidRPr="00D90E53">
        <w:t>).</w:t>
      </w:r>
      <w:r w:rsidR="00090526" w:rsidRPr="00D90E53">
        <w:t xml:space="preserve">  Also, from 1</w:t>
      </w:r>
      <w:r w:rsidR="00090526" w:rsidRPr="00D90E53">
        <w:rPr>
          <w:vertAlign w:val="superscript"/>
        </w:rPr>
        <w:t>st</w:t>
      </w:r>
      <w:r w:rsidR="00090526" w:rsidRPr="00D90E53">
        <w:t xml:space="preserve"> November the business faces the potential of domestic customers switching to other suppliers.</w:t>
      </w:r>
      <w:r w:rsidR="00FB4A29" w:rsidRPr="00D90E53">
        <w:t xml:space="preserve">  </w:t>
      </w:r>
      <w:r w:rsidR="000B32C0">
        <w:t>These changes bring</w:t>
      </w:r>
      <w:r w:rsidRPr="00D90E53">
        <w:t xml:space="preserve"> a requirement for additional res</w:t>
      </w:r>
      <w:r w:rsidR="00090526" w:rsidRPr="00D90E53">
        <w:t xml:space="preserve">ources, primarily salaries and, potentially, </w:t>
      </w:r>
      <w:r w:rsidRPr="00D90E53">
        <w:t xml:space="preserve">some degree of </w:t>
      </w:r>
      <w:r w:rsidR="00090526" w:rsidRPr="00D90E53">
        <w:t xml:space="preserve">additional </w:t>
      </w:r>
      <w:r w:rsidRPr="00D90E53">
        <w:t>risk</w:t>
      </w:r>
      <w:r w:rsidR="00090526" w:rsidRPr="00D90E53">
        <w:t xml:space="preserve">. </w:t>
      </w:r>
      <w:r w:rsidRPr="00D90E53">
        <w:t xml:space="preserve"> </w:t>
      </w:r>
      <w:r w:rsidR="00090526" w:rsidRPr="00D90E53">
        <w:t>H</w:t>
      </w:r>
      <w:r w:rsidRPr="00D90E53">
        <w:t>owever,</w:t>
      </w:r>
      <w:r w:rsidR="00090526" w:rsidRPr="00D90E53">
        <w:t xml:space="preserve"> any</w:t>
      </w:r>
      <w:r w:rsidRPr="00D90E53">
        <w:t xml:space="preserve"> increased risk on trading will </w:t>
      </w:r>
      <w:r w:rsidR="00090526" w:rsidRPr="00D90E53">
        <w:t>be largely mitigated by the retention of a K factor allowing NIE Supply to pass through 100% of electricity purchasing costs for the first year</w:t>
      </w:r>
      <w:r w:rsidRPr="00D90E53">
        <w:t xml:space="preserve"> </w:t>
      </w:r>
      <w:r w:rsidR="00090526" w:rsidRPr="00D90E53">
        <w:t xml:space="preserve">of the new market so long as it complies with the Economic Purchasing </w:t>
      </w:r>
      <w:r w:rsidR="00453214" w:rsidRPr="00D90E53">
        <w:t>O</w:t>
      </w:r>
      <w:r w:rsidR="00090526" w:rsidRPr="00D90E53">
        <w:t xml:space="preserve">bligation outlined in its licence.  Similarly, any increased risk from </w:t>
      </w:r>
      <w:r w:rsidR="00D27B19" w:rsidRPr="00D90E53">
        <w:t xml:space="preserve">retail </w:t>
      </w:r>
      <w:r w:rsidR="00090526" w:rsidRPr="00D90E53">
        <w:t>competition in the domestic sector will be largely mitigated (as experience in GB suggests) by the low risk</w:t>
      </w:r>
      <w:r w:rsidR="00D27B19" w:rsidRPr="00D90E53">
        <w:t>,</w:t>
      </w:r>
      <w:r w:rsidR="00090526" w:rsidRPr="00D90E53">
        <w:t xml:space="preserve"> in the short-term</w:t>
      </w:r>
      <w:r w:rsidR="00D27B19" w:rsidRPr="00D90E53">
        <w:t>,</w:t>
      </w:r>
      <w:r w:rsidR="00090526" w:rsidRPr="00D90E53">
        <w:t xml:space="preserve"> of competing suppliers entering the market and hence customer-switching.</w:t>
      </w:r>
    </w:p>
    <w:p w:rsidR="006472EA" w:rsidRPr="00D90E53" w:rsidRDefault="006472EA" w:rsidP="00B41129">
      <w:pPr>
        <w:jc w:val="both"/>
      </w:pPr>
    </w:p>
    <w:p w:rsidR="006472EA" w:rsidRDefault="006472EA" w:rsidP="00B41129">
      <w:pPr>
        <w:jc w:val="both"/>
      </w:pPr>
      <w:r w:rsidRPr="00D90E53">
        <w:t>Other changes include the transfer of meter</w:t>
      </w:r>
      <w:r w:rsidR="001E7370">
        <w:t xml:space="preserve"> read</w:t>
      </w:r>
      <w:r w:rsidRPr="00D90E53">
        <w:t xml:space="preserve">ing from Supply to T&amp;D </w:t>
      </w:r>
      <w:r w:rsidR="001E7370">
        <w:t xml:space="preserve">from April 2007 </w:t>
      </w:r>
      <w:r w:rsidRPr="00D90E53">
        <w:t xml:space="preserve">to facilitate </w:t>
      </w:r>
      <w:r w:rsidR="00D27B19" w:rsidRPr="00D90E53">
        <w:t xml:space="preserve">retail </w:t>
      </w:r>
      <w:r w:rsidRPr="00D90E53">
        <w:t xml:space="preserve">market opening from April 2007, reducing Supply costs by around £2.95 million each year; Keypad assets </w:t>
      </w:r>
      <w:r w:rsidR="001E7370">
        <w:t>have</w:t>
      </w:r>
      <w:r w:rsidRPr="00D90E53">
        <w:t xml:space="preserve"> also be</w:t>
      </w:r>
      <w:r w:rsidR="001E7370">
        <w:t>en</w:t>
      </w:r>
      <w:r w:rsidRPr="00D90E53">
        <w:t xml:space="preserve"> transferred to T&amp;D as part of common services unbundling, reducing the Supply asset base on which customers pay a return to investors to zero</w:t>
      </w:r>
      <w:r w:rsidR="0004061C" w:rsidRPr="00D90E53">
        <w:t xml:space="preserve"> thereby</w:t>
      </w:r>
      <w:r w:rsidRPr="00D90E53">
        <w:t xml:space="preserve"> </w:t>
      </w:r>
      <w:r w:rsidR="00FB4A29" w:rsidRPr="00D90E53">
        <w:t>reducing Supply’s revenue requirement by</w:t>
      </w:r>
      <w:r w:rsidRPr="00D90E53">
        <w:t xml:space="preserve"> £0.9 million each year.  (These costs will now be recovered by T&amp;D and be paid for by customers through the </w:t>
      </w:r>
      <w:r w:rsidR="00FB4A29" w:rsidRPr="00D90E53">
        <w:t>Use of System Tariffs (</w:t>
      </w:r>
      <w:r w:rsidRPr="00D90E53">
        <w:t>U</w:t>
      </w:r>
      <w:r w:rsidR="00D27B19" w:rsidRPr="00D90E53">
        <w:rPr>
          <w:vertAlign w:val="subscript"/>
        </w:rPr>
        <w:t>t</w:t>
      </w:r>
      <w:r w:rsidRPr="00D90E53">
        <w:t xml:space="preserve"> term</w:t>
      </w:r>
      <w:r w:rsidR="00FB4A29" w:rsidRPr="00D90E53">
        <w:t>)</w:t>
      </w:r>
      <w:r w:rsidR="00E135DD">
        <w:t>)</w:t>
      </w:r>
      <w:r w:rsidRPr="00D90E53">
        <w:t>.</w:t>
      </w:r>
    </w:p>
    <w:p w:rsidR="000A7094" w:rsidRDefault="000A7094" w:rsidP="00B41129">
      <w:pPr>
        <w:jc w:val="both"/>
      </w:pPr>
    </w:p>
    <w:p w:rsidR="000A7094" w:rsidRDefault="000A7094" w:rsidP="00B41129">
      <w:pPr>
        <w:jc w:val="both"/>
      </w:pPr>
    </w:p>
    <w:p w:rsidR="000A7094" w:rsidRDefault="000A7094" w:rsidP="00B41129">
      <w:pPr>
        <w:jc w:val="both"/>
      </w:pPr>
    </w:p>
    <w:p w:rsidR="00CD7106" w:rsidRPr="000A7094" w:rsidRDefault="009676D8" w:rsidP="00B41129">
      <w:pPr>
        <w:ind w:left="720" w:hanging="720"/>
        <w:jc w:val="both"/>
        <w:rPr>
          <w:b/>
          <w:sz w:val="40"/>
          <w:szCs w:val="40"/>
        </w:rPr>
      </w:pPr>
      <w:r w:rsidRPr="000A7094">
        <w:rPr>
          <w:b/>
          <w:sz w:val="40"/>
          <w:szCs w:val="40"/>
        </w:rPr>
        <w:t>T</w:t>
      </w:r>
      <w:r w:rsidR="00CD7106" w:rsidRPr="000A7094">
        <w:rPr>
          <w:b/>
          <w:sz w:val="40"/>
          <w:szCs w:val="40"/>
        </w:rPr>
        <w:t>he Price Control</w:t>
      </w:r>
      <w:r w:rsidRPr="000A7094">
        <w:rPr>
          <w:b/>
          <w:sz w:val="40"/>
          <w:szCs w:val="40"/>
        </w:rPr>
        <w:t xml:space="preserve"> and Tariffs</w:t>
      </w:r>
      <w:r w:rsidR="0025264C" w:rsidRPr="000A7094">
        <w:rPr>
          <w:b/>
          <w:sz w:val="40"/>
          <w:szCs w:val="40"/>
        </w:rPr>
        <w:fldChar w:fldCharType="begin"/>
      </w:r>
      <w:r w:rsidR="0025264C" w:rsidRPr="000A7094">
        <w:rPr>
          <w:b/>
          <w:sz w:val="40"/>
          <w:szCs w:val="40"/>
        </w:rPr>
        <w:instrText xml:space="preserve"> TC "</w:instrText>
      </w:r>
      <w:bookmarkStart w:id="8" w:name="_Toc181605562"/>
      <w:r w:rsidR="0025264C" w:rsidRPr="000A7094">
        <w:rPr>
          <w:b/>
          <w:sz w:val="40"/>
          <w:szCs w:val="40"/>
        </w:rPr>
        <w:instrText>The Price Control and Tariffs</w:instrText>
      </w:r>
      <w:bookmarkEnd w:id="8"/>
      <w:r w:rsidR="0025264C" w:rsidRPr="000A7094">
        <w:rPr>
          <w:b/>
          <w:sz w:val="40"/>
          <w:szCs w:val="40"/>
        </w:rPr>
        <w:instrText xml:space="preserve">" \f C \l "1" </w:instrText>
      </w:r>
      <w:r w:rsidR="0025264C" w:rsidRPr="000A7094">
        <w:rPr>
          <w:b/>
          <w:sz w:val="40"/>
          <w:szCs w:val="40"/>
        </w:rPr>
        <w:fldChar w:fldCharType="end"/>
      </w:r>
    </w:p>
    <w:p w:rsidR="00D27B19" w:rsidRPr="00D90E53" w:rsidRDefault="00D27B19" w:rsidP="00B41129">
      <w:pPr>
        <w:jc w:val="both"/>
      </w:pPr>
    </w:p>
    <w:p w:rsidR="00CD7106" w:rsidRPr="00D90E53" w:rsidRDefault="009676D8" w:rsidP="00B41129">
      <w:pPr>
        <w:jc w:val="both"/>
      </w:pPr>
      <w:r w:rsidRPr="00D90E53">
        <w:t>The allowed unit price of electricity (M) is made up of a number of components:</w:t>
      </w:r>
    </w:p>
    <w:p w:rsidR="009676D8" w:rsidRPr="00D90E53" w:rsidRDefault="009676D8" w:rsidP="00B41129">
      <w:pPr>
        <w:jc w:val="both"/>
      </w:pPr>
    </w:p>
    <w:p w:rsidR="00CD7106" w:rsidRPr="00D90E53" w:rsidRDefault="00CD7106" w:rsidP="00C30932">
      <w:pPr>
        <w:jc w:val="center"/>
        <w:outlineLvl w:val="0"/>
        <w:rPr>
          <w:b/>
        </w:rPr>
      </w:pPr>
      <w:bookmarkStart w:id="9" w:name="_Toc184009277"/>
      <w:r w:rsidRPr="00D90E53">
        <w:rPr>
          <w:b/>
        </w:rPr>
        <w:t>M</w:t>
      </w:r>
      <w:r w:rsidR="00BA2043" w:rsidRPr="00D90E53">
        <w:rPr>
          <w:b/>
          <w:vertAlign w:val="subscript"/>
        </w:rPr>
        <w:t>t</w:t>
      </w:r>
      <w:r w:rsidR="00D27B19" w:rsidRPr="00D90E53">
        <w:rPr>
          <w:b/>
          <w:vertAlign w:val="subscript"/>
        </w:rPr>
        <w:t xml:space="preserve"> </w:t>
      </w:r>
      <w:r w:rsidRPr="00D90E53">
        <w:rPr>
          <w:b/>
        </w:rPr>
        <w:t>=</w:t>
      </w:r>
      <w:r w:rsidR="00D27B19" w:rsidRPr="00D90E53">
        <w:rPr>
          <w:b/>
        </w:rPr>
        <w:t xml:space="preserve"> </w:t>
      </w:r>
      <w:r w:rsidRPr="00D90E53">
        <w:rPr>
          <w:b/>
        </w:rPr>
        <w:t>G</w:t>
      </w:r>
      <w:r w:rsidR="00BA2043" w:rsidRPr="00D90E53">
        <w:rPr>
          <w:b/>
          <w:vertAlign w:val="subscript"/>
        </w:rPr>
        <w:t>t</w:t>
      </w:r>
      <w:r w:rsidR="00D27B19" w:rsidRPr="00D90E53">
        <w:rPr>
          <w:b/>
          <w:vertAlign w:val="subscript"/>
        </w:rPr>
        <w:t xml:space="preserve"> </w:t>
      </w:r>
      <w:r w:rsidRPr="00D90E53">
        <w:rPr>
          <w:b/>
        </w:rPr>
        <w:t>+</w:t>
      </w:r>
      <w:r w:rsidR="00D27B19" w:rsidRPr="00D90E53">
        <w:rPr>
          <w:b/>
        </w:rPr>
        <w:t xml:space="preserve"> </w:t>
      </w:r>
      <w:r w:rsidRPr="00D90E53">
        <w:rPr>
          <w:b/>
        </w:rPr>
        <w:t>U</w:t>
      </w:r>
      <w:r w:rsidR="00BA2043" w:rsidRPr="00D90E53">
        <w:rPr>
          <w:b/>
          <w:vertAlign w:val="subscript"/>
        </w:rPr>
        <w:t>t</w:t>
      </w:r>
      <w:r w:rsidR="00D27B19" w:rsidRPr="00D90E53">
        <w:rPr>
          <w:b/>
          <w:vertAlign w:val="subscript"/>
        </w:rPr>
        <w:t xml:space="preserve"> </w:t>
      </w:r>
      <w:r w:rsidRPr="00D90E53">
        <w:rPr>
          <w:b/>
        </w:rPr>
        <w:t>+</w:t>
      </w:r>
      <w:r w:rsidR="00D27B19" w:rsidRPr="00D90E53">
        <w:rPr>
          <w:b/>
        </w:rPr>
        <w:t xml:space="preserve"> </w:t>
      </w:r>
      <w:r w:rsidRPr="00D90E53">
        <w:rPr>
          <w:b/>
        </w:rPr>
        <w:t>S</w:t>
      </w:r>
      <w:r w:rsidR="00BA2043" w:rsidRPr="00D90E53">
        <w:rPr>
          <w:b/>
          <w:vertAlign w:val="subscript"/>
        </w:rPr>
        <w:t>t</w:t>
      </w:r>
      <w:r w:rsidR="00D27B19" w:rsidRPr="00D90E53">
        <w:rPr>
          <w:b/>
          <w:vertAlign w:val="subscript"/>
        </w:rPr>
        <w:t xml:space="preserve"> </w:t>
      </w:r>
      <w:r w:rsidRPr="00D90E53">
        <w:rPr>
          <w:b/>
        </w:rPr>
        <w:t>+</w:t>
      </w:r>
      <w:r w:rsidR="00D27B19" w:rsidRPr="00D90E53">
        <w:rPr>
          <w:b/>
        </w:rPr>
        <w:t xml:space="preserve"> </w:t>
      </w:r>
      <w:r w:rsidRPr="00D90E53">
        <w:rPr>
          <w:b/>
        </w:rPr>
        <w:t>K</w:t>
      </w:r>
      <w:r w:rsidR="00BA2043" w:rsidRPr="00D90E53">
        <w:rPr>
          <w:b/>
          <w:vertAlign w:val="subscript"/>
        </w:rPr>
        <w:t>t</w:t>
      </w:r>
      <w:r w:rsidR="00D27B19" w:rsidRPr="00D90E53">
        <w:rPr>
          <w:b/>
          <w:vertAlign w:val="subscript"/>
        </w:rPr>
        <w:t xml:space="preserve"> </w:t>
      </w:r>
      <w:r w:rsidR="00D27B19" w:rsidRPr="00D90E53">
        <w:rPr>
          <w:b/>
        </w:rPr>
        <w:t>+ (</w:t>
      </w:r>
      <w:r w:rsidRPr="00D90E53">
        <w:rPr>
          <w:b/>
        </w:rPr>
        <w:t>J</w:t>
      </w:r>
      <w:r w:rsidR="00BA2043" w:rsidRPr="00D90E53">
        <w:rPr>
          <w:b/>
          <w:vertAlign w:val="subscript"/>
        </w:rPr>
        <w:t>t</w:t>
      </w:r>
      <w:r w:rsidRPr="00D90E53">
        <w:rPr>
          <w:b/>
        </w:rPr>
        <w:t>-D</w:t>
      </w:r>
      <w:r w:rsidR="00BA2043" w:rsidRPr="00D90E53">
        <w:rPr>
          <w:b/>
          <w:vertAlign w:val="subscript"/>
        </w:rPr>
        <w:t>t</w:t>
      </w:r>
      <w:r w:rsidR="00D27B19" w:rsidRPr="00D90E53">
        <w:rPr>
          <w:b/>
        </w:rPr>
        <w:t xml:space="preserve">) + </w:t>
      </w:r>
      <w:r w:rsidR="00C0314A" w:rsidRPr="00D90E53">
        <w:rPr>
          <w:b/>
        </w:rPr>
        <w:t>E</w:t>
      </w:r>
      <w:r w:rsidR="00BA2043" w:rsidRPr="00D90E53">
        <w:rPr>
          <w:b/>
          <w:vertAlign w:val="subscript"/>
        </w:rPr>
        <w:t>t</w:t>
      </w:r>
      <w:bookmarkEnd w:id="9"/>
    </w:p>
    <w:p w:rsidR="00CD7106" w:rsidRPr="00D90E53" w:rsidRDefault="00CD7106" w:rsidP="00B41129">
      <w:pPr>
        <w:jc w:val="both"/>
      </w:pPr>
    </w:p>
    <w:p w:rsidR="00BA2043" w:rsidRPr="00D90E53" w:rsidRDefault="00BA2043" w:rsidP="00C30932">
      <w:pPr>
        <w:jc w:val="both"/>
        <w:outlineLvl w:val="0"/>
        <w:rPr>
          <w:vertAlign w:val="subscript"/>
        </w:rPr>
      </w:pPr>
      <w:bookmarkStart w:id="10" w:name="_Toc184009278"/>
      <w:r w:rsidRPr="00D90E53">
        <w:t xml:space="preserve">In year </w:t>
      </w:r>
      <w:r w:rsidRPr="00D90E53">
        <w:rPr>
          <w:vertAlign w:val="subscript"/>
        </w:rPr>
        <w:t>t,</w:t>
      </w:r>
      <w:bookmarkEnd w:id="10"/>
    </w:p>
    <w:p w:rsidR="00BA2043" w:rsidRPr="00D90E53" w:rsidRDefault="00BA2043" w:rsidP="00B41129">
      <w:pPr>
        <w:jc w:val="both"/>
      </w:pPr>
    </w:p>
    <w:p w:rsidR="009676D8" w:rsidRPr="00D90E53" w:rsidRDefault="00CD7106" w:rsidP="00B41129">
      <w:pPr>
        <w:jc w:val="both"/>
      </w:pPr>
      <w:r w:rsidRPr="00D90E53">
        <w:t>G</w:t>
      </w:r>
      <w:r w:rsidR="00BA2043" w:rsidRPr="00D90E53">
        <w:rPr>
          <w:vertAlign w:val="subscript"/>
        </w:rPr>
        <w:t>t</w:t>
      </w:r>
      <w:r w:rsidRPr="00D90E53">
        <w:t xml:space="preserve"> refers to the cost of the electricity </w:t>
      </w:r>
      <w:r w:rsidR="00BA2043" w:rsidRPr="00D90E53">
        <w:t xml:space="preserve">which </w:t>
      </w:r>
      <w:r w:rsidRPr="00D90E53">
        <w:t xml:space="preserve">NIE </w:t>
      </w:r>
      <w:r w:rsidR="00BA2043" w:rsidRPr="00D90E53">
        <w:t>Supply purchases</w:t>
      </w:r>
      <w:r w:rsidRPr="00D90E53">
        <w:t xml:space="preserve"> and so long as NIE complies with its Economic Purchasing Obligation, this will be passed </w:t>
      </w:r>
      <w:r w:rsidR="009676D8" w:rsidRPr="00D90E53">
        <w:t>directly through to customers.</w:t>
      </w:r>
    </w:p>
    <w:p w:rsidR="009676D8" w:rsidRPr="00D90E53" w:rsidRDefault="009676D8" w:rsidP="00B41129">
      <w:pPr>
        <w:jc w:val="both"/>
      </w:pPr>
    </w:p>
    <w:p w:rsidR="009676D8" w:rsidRPr="00D90E53" w:rsidRDefault="00CD7106" w:rsidP="00B41129">
      <w:pPr>
        <w:jc w:val="both"/>
      </w:pPr>
      <w:r w:rsidRPr="00D90E53">
        <w:t>U</w:t>
      </w:r>
      <w:r w:rsidR="00BA2043" w:rsidRPr="00D90E53">
        <w:rPr>
          <w:vertAlign w:val="subscript"/>
        </w:rPr>
        <w:t>t</w:t>
      </w:r>
      <w:r w:rsidRPr="00D90E53">
        <w:t xml:space="preserve"> covers the costs of using the electricity network; these costs are regulated through the NIE </w:t>
      </w:r>
      <w:r w:rsidR="00E37A2F" w:rsidRPr="00D90E53">
        <w:t>T</w:t>
      </w:r>
      <w:r w:rsidRPr="00D90E53">
        <w:t>ransmission and Dis</w:t>
      </w:r>
      <w:r w:rsidR="009676D8" w:rsidRPr="00D90E53">
        <w:t>tribution (T&amp;D) price control.</w:t>
      </w:r>
    </w:p>
    <w:p w:rsidR="009676D8" w:rsidRPr="00D90E53" w:rsidRDefault="009676D8" w:rsidP="00B41129">
      <w:pPr>
        <w:jc w:val="both"/>
      </w:pPr>
    </w:p>
    <w:p w:rsidR="009676D8" w:rsidRPr="00D90E53" w:rsidRDefault="00CD7106" w:rsidP="00B41129">
      <w:pPr>
        <w:jc w:val="both"/>
      </w:pPr>
      <w:r w:rsidRPr="00D90E53">
        <w:t>K</w:t>
      </w:r>
      <w:r w:rsidR="00BA2043" w:rsidRPr="00D90E53">
        <w:rPr>
          <w:vertAlign w:val="subscript"/>
        </w:rPr>
        <w:t>t</w:t>
      </w:r>
      <w:r w:rsidRPr="00D90E53">
        <w:t xml:space="preserve"> is a correction facility whereby under or over-recoveries</w:t>
      </w:r>
      <w:r w:rsidR="00E37A2F" w:rsidRPr="00D90E53">
        <w:t xml:space="preserve"> in the previous year</w:t>
      </w:r>
      <w:r w:rsidRPr="00D90E53">
        <w:t xml:space="preserve"> can be </w:t>
      </w:r>
      <w:r w:rsidR="00BA2043" w:rsidRPr="00D90E53">
        <w:t>collected by</w:t>
      </w:r>
      <w:r w:rsidRPr="00D90E53">
        <w:t xml:space="preserve"> the business (under-recovery) or </w:t>
      </w:r>
      <w:r w:rsidR="00BA2043" w:rsidRPr="00D90E53">
        <w:t xml:space="preserve">given </w:t>
      </w:r>
      <w:r w:rsidRPr="00D90E53">
        <w:t>bac</w:t>
      </w:r>
      <w:r w:rsidR="009676D8" w:rsidRPr="00D90E53">
        <w:t>k to consumers (over-recovery).</w:t>
      </w:r>
    </w:p>
    <w:p w:rsidR="009676D8" w:rsidRPr="00D90E53" w:rsidRDefault="009676D8" w:rsidP="00B41129">
      <w:pPr>
        <w:jc w:val="both"/>
      </w:pPr>
    </w:p>
    <w:p w:rsidR="00CD7106" w:rsidRPr="00D90E53" w:rsidRDefault="00CD7106" w:rsidP="00B41129">
      <w:pPr>
        <w:jc w:val="both"/>
      </w:pPr>
      <w:r w:rsidRPr="00D90E53">
        <w:t>J</w:t>
      </w:r>
      <w:r w:rsidR="00BA2043" w:rsidRPr="00D90E53">
        <w:rPr>
          <w:vertAlign w:val="subscript"/>
        </w:rPr>
        <w:t>t</w:t>
      </w:r>
      <w:r w:rsidRPr="00D90E53">
        <w:t xml:space="preserve"> </w:t>
      </w:r>
      <w:r w:rsidR="00BA2043" w:rsidRPr="00D90E53">
        <w:t>encompasses costs</w:t>
      </w:r>
      <w:r w:rsidRPr="00D90E53">
        <w:t xml:space="preserve"> associated with </w:t>
      </w:r>
      <w:r w:rsidR="00534783">
        <w:t xml:space="preserve">the </w:t>
      </w:r>
      <w:r w:rsidR="00BA2043" w:rsidRPr="00D90E53">
        <w:t xml:space="preserve">buy-out </w:t>
      </w:r>
      <w:r w:rsidR="00534783">
        <w:t>relating to</w:t>
      </w:r>
      <w:r w:rsidR="00BA2043" w:rsidRPr="00D90E53">
        <w:t xml:space="preserve"> </w:t>
      </w:r>
      <w:r w:rsidRPr="00D90E53">
        <w:t>the Northern Ireland Renewables Obligation with the D</w:t>
      </w:r>
      <w:r w:rsidR="00BA2043" w:rsidRPr="00D90E53">
        <w:rPr>
          <w:vertAlign w:val="subscript"/>
        </w:rPr>
        <w:t>t</w:t>
      </w:r>
      <w:r w:rsidRPr="00D90E53">
        <w:t xml:space="preserve"> term </w:t>
      </w:r>
      <w:r w:rsidR="00BA2043" w:rsidRPr="00D90E53">
        <w:t>representing</w:t>
      </w:r>
      <w:r w:rsidRPr="00D90E53">
        <w:t xml:space="preserve"> </w:t>
      </w:r>
      <w:r w:rsidR="00BA2043" w:rsidRPr="00D90E53">
        <w:t>any savings on the buy-out NIE achieves</w:t>
      </w:r>
      <w:r w:rsidRPr="00D90E53">
        <w:t>.</w:t>
      </w:r>
    </w:p>
    <w:p w:rsidR="00C0314A" w:rsidRPr="00D90E53" w:rsidRDefault="00C0314A" w:rsidP="00B41129">
      <w:pPr>
        <w:jc w:val="both"/>
      </w:pPr>
    </w:p>
    <w:p w:rsidR="00CD7106" w:rsidRDefault="00C0314A" w:rsidP="00B41129">
      <w:pPr>
        <w:jc w:val="both"/>
      </w:pPr>
      <w:r w:rsidRPr="00D90E53">
        <w:t>E</w:t>
      </w:r>
      <w:r w:rsidR="00BA2043" w:rsidRPr="00D90E53">
        <w:rPr>
          <w:vertAlign w:val="subscript"/>
        </w:rPr>
        <w:t>t</w:t>
      </w:r>
      <w:r w:rsidRPr="00D90E53">
        <w:t xml:space="preserve"> is associated with </w:t>
      </w:r>
      <w:r w:rsidR="00F72F51">
        <w:t xml:space="preserve">one-off </w:t>
      </w:r>
      <w:r w:rsidRPr="00D90E53">
        <w:t xml:space="preserve">costs </w:t>
      </w:r>
      <w:r w:rsidR="00F72F51">
        <w:t xml:space="preserve">such as, those </w:t>
      </w:r>
      <w:r w:rsidRPr="00D90E53">
        <w:t xml:space="preserve">arising from implementation of the Single Electricity Market (SEM) and European Directive </w:t>
      </w:r>
      <w:r w:rsidR="00BA2043" w:rsidRPr="00D90E53">
        <w:t xml:space="preserve">concerning the internal </w:t>
      </w:r>
      <w:r w:rsidRPr="00D90E53">
        <w:t>market for electricity</w:t>
      </w:r>
      <w:r w:rsidR="006C719D" w:rsidRPr="00D90E53">
        <w:t xml:space="preserve"> including retail market opening</w:t>
      </w:r>
      <w:r w:rsidR="00F72F51">
        <w:t>, along with uncontrollable costs which are passed through to customers on a 100% basis.  These latter costs include licence fees, NI2007 establishment costs</w:t>
      </w:r>
      <w:r w:rsidR="00EF3DDB">
        <w:t xml:space="preserve"> and past pensions deficit.  </w:t>
      </w:r>
    </w:p>
    <w:p w:rsidR="002C434D" w:rsidRPr="00D90E53" w:rsidRDefault="002C434D" w:rsidP="00B41129">
      <w:pPr>
        <w:jc w:val="both"/>
      </w:pPr>
    </w:p>
    <w:p w:rsidR="006C719D" w:rsidRPr="00D90E53" w:rsidRDefault="00BA2043" w:rsidP="00B41129">
      <w:pPr>
        <w:jc w:val="both"/>
      </w:pPr>
      <w:r w:rsidRPr="00D90E53">
        <w:t>Therefore, most of NIE Supply’s costs are straight pass-through costs which are subject to other price controls or regulations and thus, this</w:t>
      </w:r>
      <w:r w:rsidR="009676D8" w:rsidRPr="00D90E53">
        <w:t xml:space="preserve"> price control deals </w:t>
      </w:r>
      <w:r w:rsidR="000B32C0">
        <w:t xml:space="preserve">only </w:t>
      </w:r>
      <w:r w:rsidR="009676D8" w:rsidRPr="00D90E53">
        <w:t>with the S</w:t>
      </w:r>
      <w:r w:rsidRPr="00D90E53">
        <w:rPr>
          <w:vertAlign w:val="subscript"/>
        </w:rPr>
        <w:t>t</w:t>
      </w:r>
      <w:r w:rsidR="009676D8" w:rsidRPr="00D90E53">
        <w:t xml:space="preserve"> term of the tariff formula which is </w:t>
      </w:r>
      <w:r w:rsidR="006C719D" w:rsidRPr="00D90E53">
        <w:t>in effect</w:t>
      </w:r>
      <w:r w:rsidR="00CD7106" w:rsidRPr="00D90E53">
        <w:t xml:space="preserve"> the revenue NIE Supply is allowed by the regulator to collect from customers</w:t>
      </w:r>
      <w:r w:rsidR="00C129AA">
        <w:t xml:space="preserve"> to cover its own core costs</w:t>
      </w:r>
      <w:r w:rsidR="00CD7106" w:rsidRPr="00D90E53">
        <w:t xml:space="preserve">.  This amount must be sufficient to finance an efficient </w:t>
      </w:r>
      <w:r w:rsidR="006C719D" w:rsidRPr="00D90E53">
        <w:t xml:space="preserve">business and </w:t>
      </w:r>
      <w:r w:rsidRPr="00D90E53">
        <w:t>would normally comprise</w:t>
      </w:r>
      <w:r w:rsidR="006C719D" w:rsidRPr="00D90E53">
        <w:t>:</w:t>
      </w:r>
    </w:p>
    <w:p w:rsidR="006C719D" w:rsidRPr="00D90E53" w:rsidRDefault="006C719D" w:rsidP="00B41129">
      <w:pPr>
        <w:jc w:val="both"/>
      </w:pPr>
    </w:p>
    <w:tbl>
      <w:tblPr>
        <w:tblStyle w:val="TableGrid"/>
        <w:tblW w:w="0" w:type="auto"/>
        <w:jc w:val="center"/>
        <w:tblInd w:w="943" w:type="dxa"/>
        <w:tblLook w:val="01E0"/>
      </w:tblPr>
      <w:tblGrid>
        <w:gridCol w:w="3980"/>
      </w:tblGrid>
      <w:tr w:rsidR="006472EA" w:rsidRPr="00D90E53">
        <w:trPr>
          <w:jc w:val="center"/>
        </w:trPr>
        <w:tc>
          <w:tcPr>
            <w:tcW w:w="3980" w:type="dxa"/>
          </w:tcPr>
          <w:p w:rsidR="006472EA" w:rsidRPr="00D90E53" w:rsidRDefault="006472EA" w:rsidP="00B41129">
            <w:pPr>
              <w:jc w:val="both"/>
            </w:pPr>
            <w:r w:rsidRPr="00D90E53">
              <w:t xml:space="preserve">Operating costs </w:t>
            </w:r>
          </w:p>
        </w:tc>
      </w:tr>
      <w:tr w:rsidR="006472EA" w:rsidRPr="00D90E53">
        <w:trPr>
          <w:jc w:val="center"/>
        </w:trPr>
        <w:tc>
          <w:tcPr>
            <w:tcW w:w="3980" w:type="dxa"/>
          </w:tcPr>
          <w:p w:rsidR="006472EA" w:rsidRPr="00D90E53" w:rsidRDefault="006472EA" w:rsidP="00B41129">
            <w:pPr>
              <w:jc w:val="both"/>
            </w:pPr>
            <w:r w:rsidRPr="00D90E53">
              <w:t>Capital expenditure</w:t>
            </w:r>
          </w:p>
        </w:tc>
      </w:tr>
      <w:tr w:rsidR="006472EA" w:rsidRPr="00D90E53">
        <w:trPr>
          <w:jc w:val="center"/>
        </w:trPr>
        <w:tc>
          <w:tcPr>
            <w:tcW w:w="3980" w:type="dxa"/>
          </w:tcPr>
          <w:p w:rsidR="006472EA" w:rsidRPr="00D90E53" w:rsidRDefault="006472EA" w:rsidP="00B41129">
            <w:pPr>
              <w:jc w:val="both"/>
            </w:pPr>
            <w:r w:rsidRPr="00D90E53">
              <w:t>Depreciation</w:t>
            </w:r>
          </w:p>
        </w:tc>
      </w:tr>
      <w:tr w:rsidR="006472EA" w:rsidRPr="00D90E53">
        <w:trPr>
          <w:jc w:val="center"/>
        </w:trPr>
        <w:tc>
          <w:tcPr>
            <w:tcW w:w="3980" w:type="dxa"/>
          </w:tcPr>
          <w:p w:rsidR="006472EA" w:rsidRPr="00D90E53" w:rsidRDefault="006472EA" w:rsidP="00B41129">
            <w:pPr>
              <w:jc w:val="both"/>
            </w:pPr>
            <w:r w:rsidRPr="00D90E53">
              <w:t>Return on assets</w:t>
            </w:r>
            <w:r w:rsidR="0004061C" w:rsidRPr="00D90E53">
              <w:t>/ Profit margin</w:t>
            </w:r>
          </w:p>
        </w:tc>
      </w:tr>
    </w:tbl>
    <w:p w:rsidR="006C719D" w:rsidRPr="00D90E53" w:rsidRDefault="006C719D" w:rsidP="00B41129">
      <w:pPr>
        <w:jc w:val="both"/>
      </w:pPr>
    </w:p>
    <w:p w:rsidR="00CD7106" w:rsidRPr="00D90E53" w:rsidRDefault="00BA2043" w:rsidP="00B41129">
      <w:pPr>
        <w:jc w:val="both"/>
      </w:pPr>
      <w:r w:rsidRPr="00D90E53">
        <w:t xml:space="preserve">The Allowed </w:t>
      </w:r>
      <w:r w:rsidR="0004061C" w:rsidRPr="00D90E53">
        <w:t>R</w:t>
      </w:r>
      <w:r w:rsidRPr="00D90E53">
        <w:t>evenue</w:t>
      </w:r>
      <w:r w:rsidR="0004061C" w:rsidRPr="00D90E53">
        <w:t xml:space="preserve"> minus the cost of electricity purchases (recovered through the G</w:t>
      </w:r>
      <w:r w:rsidR="0004061C" w:rsidRPr="00D90E53">
        <w:rPr>
          <w:vertAlign w:val="subscript"/>
        </w:rPr>
        <w:t>t</w:t>
      </w:r>
      <w:r w:rsidR="0004061C" w:rsidRPr="00D90E53">
        <w:t xml:space="preserve"> term)</w:t>
      </w:r>
      <w:r w:rsidRPr="00D90E53">
        <w:t xml:space="preserve"> is currently collected on a ratio</w:t>
      </w:r>
      <w:r w:rsidR="00CD7106" w:rsidRPr="00D90E53">
        <w:t xml:space="preserve"> of 62% </w:t>
      </w:r>
      <w:r w:rsidR="006472EA" w:rsidRPr="00D90E53">
        <w:t xml:space="preserve">for </w:t>
      </w:r>
      <w:r w:rsidR="00CD7106" w:rsidRPr="00D90E53">
        <w:t xml:space="preserve">fixed costs plus </w:t>
      </w:r>
      <w:r w:rsidRPr="00D90E53">
        <w:t>a variable charge on a per customer basis</w:t>
      </w:r>
      <w:r w:rsidR="00CD7106" w:rsidRPr="00D90E53">
        <w:t xml:space="preserve"> </w:t>
      </w:r>
      <w:r w:rsidR="006472EA" w:rsidRPr="00D90E53">
        <w:t>(</w:t>
      </w:r>
      <w:r w:rsidR="00CD7106" w:rsidRPr="00D90E53">
        <w:t>38%</w:t>
      </w:r>
      <w:r w:rsidR="006472EA" w:rsidRPr="00D90E53">
        <w:t>)</w:t>
      </w:r>
      <w:r w:rsidR="00CD7106" w:rsidRPr="00D90E53">
        <w:t>.  These amounts are currently:</w:t>
      </w:r>
    </w:p>
    <w:p w:rsidR="00CD7106" w:rsidRPr="00D90E53" w:rsidRDefault="00CD7106" w:rsidP="00B41129">
      <w:pPr>
        <w:jc w:val="both"/>
      </w:pPr>
    </w:p>
    <w:p w:rsidR="00CD7106" w:rsidRPr="00D90E53" w:rsidRDefault="00CD7106" w:rsidP="00B41129">
      <w:pPr>
        <w:jc w:val="both"/>
      </w:pPr>
      <w:r w:rsidRPr="00D90E53">
        <w:t>Fixed:  £16.697m</w:t>
      </w:r>
      <w:r w:rsidRPr="00D90E53">
        <w:tab/>
        <w:t>Variable:  £13.3623 per customer</w:t>
      </w:r>
    </w:p>
    <w:p w:rsidR="00CD7106" w:rsidRPr="00D90E53" w:rsidRDefault="00CD7106" w:rsidP="00B41129">
      <w:pPr>
        <w:jc w:val="both"/>
      </w:pPr>
    </w:p>
    <w:p w:rsidR="0004061C" w:rsidRPr="00D90E53" w:rsidRDefault="00CD7106" w:rsidP="00B41129">
      <w:pPr>
        <w:jc w:val="both"/>
      </w:pPr>
      <w:r w:rsidRPr="00D90E53">
        <w:t>The supply business, having given over responsibility for meter</w:t>
      </w:r>
      <w:r w:rsidR="00C129AA">
        <w:t xml:space="preserve"> read</w:t>
      </w:r>
      <w:r w:rsidRPr="00D90E53">
        <w:t xml:space="preserve">ing and the associated assets (Keypad meters) to the Transmission and Distribution business to facilitate full market opening, currently has </w:t>
      </w:r>
      <w:r w:rsidR="00C129AA">
        <w:t>relatively few fixed</w:t>
      </w:r>
      <w:r w:rsidRPr="00D90E53">
        <w:t xml:space="preserve"> assets and therefore depreciation</w:t>
      </w:r>
      <w:r w:rsidR="00D27B19" w:rsidRPr="00D90E53">
        <w:t xml:space="preserve"> (other than residual depreciation after transfer of metering assets)</w:t>
      </w:r>
      <w:r w:rsidRPr="00D90E53">
        <w:t xml:space="preserve"> is not a consideration within the Allowed Revenue</w:t>
      </w:r>
      <w:r w:rsidR="00C0314A" w:rsidRPr="00D90E53">
        <w:t>, neither is a return on assets for investors</w:t>
      </w:r>
      <w:r w:rsidRPr="00D90E53">
        <w:t>.  There are no current plans for capital expenditure and thus the Allowed Revenue</w:t>
      </w:r>
      <w:r w:rsidR="0004061C" w:rsidRPr="00D90E53">
        <w:t xml:space="preserve"> minus the cost of electricity purchases</w:t>
      </w:r>
      <w:r w:rsidR="00C129AA">
        <w:t xml:space="preserve"> (the </w:t>
      </w:r>
      <w:r w:rsidR="00C129AA" w:rsidRPr="00D90E53">
        <w:t>S</w:t>
      </w:r>
      <w:r w:rsidR="00C129AA" w:rsidRPr="00D90E53">
        <w:rPr>
          <w:vertAlign w:val="subscript"/>
        </w:rPr>
        <w:t>t</w:t>
      </w:r>
      <w:r w:rsidR="00C129AA">
        <w:t xml:space="preserve"> term)</w:t>
      </w:r>
      <w:r w:rsidRPr="00D90E53">
        <w:t xml:space="preserve"> will consist only of operating costs</w:t>
      </w:r>
      <w:r w:rsidR="00D27B19" w:rsidRPr="00D90E53">
        <w:t xml:space="preserve"> and residual depreciation</w:t>
      </w:r>
      <w:r w:rsidRPr="00D90E53">
        <w:t xml:space="preserve"> plus a margin.</w:t>
      </w:r>
    </w:p>
    <w:p w:rsidR="0004061C" w:rsidRPr="00D90E53" w:rsidRDefault="0004061C" w:rsidP="00B41129">
      <w:pPr>
        <w:jc w:val="both"/>
      </w:pPr>
    </w:p>
    <w:p w:rsidR="00CD7106" w:rsidRDefault="00CD7106" w:rsidP="00B41129">
      <w:pPr>
        <w:jc w:val="both"/>
      </w:pPr>
    </w:p>
    <w:p w:rsidR="00E135DD" w:rsidRPr="00D90E53" w:rsidRDefault="00E135DD" w:rsidP="00B41129">
      <w:pPr>
        <w:jc w:val="both"/>
      </w:pPr>
    </w:p>
    <w:p w:rsidR="006472EA" w:rsidRPr="000A7094" w:rsidRDefault="006472EA" w:rsidP="00C30932">
      <w:pPr>
        <w:jc w:val="both"/>
        <w:outlineLvl w:val="0"/>
        <w:rPr>
          <w:b/>
          <w:sz w:val="40"/>
          <w:szCs w:val="40"/>
        </w:rPr>
      </w:pPr>
      <w:bookmarkStart w:id="11" w:name="_Toc184009279"/>
      <w:r w:rsidRPr="000A7094">
        <w:rPr>
          <w:b/>
          <w:sz w:val="40"/>
          <w:szCs w:val="40"/>
        </w:rPr>
        <w:t>Approach</w:t>
      </w:r>
      <w:bookmarkEnd w:id="11"/>
      <w:r w:rsidR="0025264C" w:rsidRPr="000A7094">
        <w:rPr>
          <w:b/>
          <w:sz w:val="40"/>
          <w:szCs w:val="40"/>
        </w:rPr>
        <w:fldChar w:fldCharType="begin"/>
      </w:r>
      <w:r w:rsidR="0025264C" w:rsidRPr="000A7094">
        <w:rPr>
          <w:b/>
          <w:sz w:val="40"/>
          <w:szCs w:val="40"/>
        </w:rPr>
        <w:instrText xml:space="preserve"> TC "</w:instrText>
      </w:r>
      <w:bookmarkStart w:id="12" w:name="_Toc181605563"/>
      <w:r w:rsidR="0025264C" w:rsidRPr="000A7094">
        <w:rPr>
          <w:b/>
          <w:sz w:val="40"/>
          <w:szCs w:val="40"/>
        </w:rPr>
        <w:instrText>Approach</w:instrText>
      </w:r>
      <w:bookmarkEnd w:id="12"/>
      <w:r w:rsidR="0025264C" w:rsidRPr="000A7094">
        <w:rPr>
          <w:b/>
          <w:sz w:val="40"/>
          <w:szCs w:val="40"/>
        </w:rPr>
        <w:instrText xml:space="preserve">" \f C \l "1" </w:instrText>
      </w:r>
      <w:r w:rsidR="0025264C" w:rsidRPr="000A7094">
        <w:rPr>
          <w:b/>
          <w:sz w:val="40"/>
          <w:szCs w:val="40"/>
        </w:rPr>
        <w:fldChar w:fldCharType="end"/>
      </w:r>
    </w:p>
    <w:p w:rsidR="00D27B19" w:rsidRPr="00D90E53" w:rsidRDefault="00D27B19" w:rsidP="00B41129">
      <w:pPr>
        <w:jc w:val="both"/>
      </w:pPr>
    </w:p>
    <w:p w:rsidR="006472EA" w:rsidRPr="00D90E53" w:rsidRDefault="006472EA" w:rsidP="00B41129">
      <w:pPr>
        <w:jc w:val="both"/>
      </w:pPr>
      <w:r w:rsidRPr="00D90E53">
        <w:t xml:space="preserve">The Utility Regulator requested data from NIE Supply on </w:t>
      </w:r>
      <w:smartTag w:uri="urn:schemas-microsoft-com:office:smarttags" w:element="date">
        <w:smartTagPr>
          <w:attr w:name="Month" w:val="3"/>
          <w:attr w:name="Day" w:val="30"/>
          <w:attr w:name="Year" w:val="2007"/>
        </w:smartTagPr>
        <w:r w:rsidRPr="00D90E53">
          <w:t>30 March 200</w:t>
        </w:r>
        <w:r w:rsidR="00213EC0">
          <w:t>7</w:t>
        </w:r>
      </w:smartTag>
      <w:r w:rsidRPr="00D90E53">
        <w:t xml:space="preserve">.  The first partial response to the Business Efficiency Questionnaire was returned to us on </w:t>
      </w:r>
      <w:smartTag w:uri="urn:schemas-microsoft-com:office:smarttags" w:element="date">
        <w:smartTagPr>
          <w:attr w:name="Year" w:val="2007"/>
          <w:attr w:name="Day" w:val="2"/>
          <w:attr w:name="Month" w:val="5"/>
        </w:smartTagPr>
        <w:r w:rsidRPr="00D90E53">
          <w:t>2 May 2007</w:t>
        </w:r>
      </w:smartTag>
      <w:r w:rsidRPr="00D90E53">
        <w:t xml:space="preserve"> with a request for missing data sent by the Utility Regulator on </w:t>
      </w:r>
      <w:smartTag w:uri="urn:schemas-microsoft-com:office:smarttags" w:element="date">
        <w:smartTagPr>
          <w:attr w:name="Year" w:val="2007"/>
          <w:attr w:name="Day" w:val="22"/>
          <w:attr w:name="Month" w:val="6"/>
        </w:smartTagPr>
        <w:r w:rsidR="008640BB" w:rsidRPr="00D90E53">
          <w:t>22 June 2007</w:t>
        </w:r>
      </w:smartTag>
      <w:r w:rsidR="008640BB" w:rsidRPr="00D90E53">
        <w:t xml:space="preserve">.  Additional data </w:t>
      </w:r>
      <w:r w:rsidR="000B32C0">
        <w:t>were</w:t>
      </w:r>
      <w:r w:rsidR="008640BB" w:rsidRPr="00D90E53">
        <w:t xml:space="preserve"> supplied by NIE Supply on </w:t>
      </w:r>
      <w:smartTag w:uri="urn:schemas-microsoft-com:office:smarttags" w:element="date">
        <w:smartTagPr>
          <w:attr w:name="Month" w:val="6"/>
          <w:attr w:name="Day" w:val="29"/>
          <w:attr w:name="Year" w:val="2007"/>
        </w:smartTagPr>
        <w:r w:rsidR="008640BB" w:rsidRPr="00D90E53">
          <w:t>Friday 29 June 2007</w:t>
        </w:r>
      </w:smartTag>
      <w:r w:rsidR="008640BB" w:rsidRPr="00D90E53">
        <w:t xml:space="preserve">.  We analysed the data provided, formulating supplementary questions which were discussed at a meeting between the Utility Regulator and NIE Supply on </w:t>
      </w:r>
      <w:smartTag w:uri="urn:schemas-microsoft-com:office:smarttags" w:element="date">
        <w:smartTagPr>
          <w:attr w:name="Year" w:val="2007"/>
          <w:attr w:name="Day" w:val="24"/>
          <w:attr w:name="Month" w:val="7"/>
        </w:smartTagPr>
        <w:r w:rsidR="008640BB" w:rsidRPr="00D90E53">
          <w:t>24 July 2007</w:t>
        </w:r>
      </w:smartTag>
      <w:r w:rsidR="008640BB" w:rsidRPr="00D90E53">
        <w:t xml:space="preserve">.  </w:t>
      </w:r>
      <w:r w:rsidR="001D741B" w:rsidRPr="00D90E53">
        <w:t xml:space="preserve">On 31 July 2007 </w:t>
      </w:r>
      <w:r w:rsidR="008640BB" w:rsidRPr="00D90E53">
        <w:t>NIE Supply re-submitted data and answers to the supplementary questions and those arising from the meeting.  The Utility Regulator used the data and information supplied by NIE Supply to evaluate NIE Supply’s proposals and formulate the price control</w:t>
      </w:r>
      <w:r w:rsidR="00977F8F" w:rsidRPr="00D90E53">
        <w:t xml:space="preserve"> proposals</w:t>
      </w:r>
      <w:r w:rsidR="008640BB" w:rsidRPr="00D90E53">
        <w:t>.</w:t>
      </w:r>
      <w:r w:rsidR="00F46222" w:rsidRPr="00D90E53">
        <w:t xml:space="preserve">  A consultation document</w:t>
      </w:r>
      <w:r w:rsidR="00977F8F" w:rsidRPr="00D90E53">
        <w:t xml:space="preserve"> outlining the Utility Regulator’s proposals</w:t>
      </w:r>
      <w:r w:rsidR="00F46222" w:rsidRPr="00D90E53">
        <w:t xml:space="preserve"> was published on </w:t>
      </w:r>
      <w:smartTag w:uri="urn:schemas-microsoft-com:office:smarttags" w:element="date">
        <w:smartTagPr>
          <w:attr w:name="Year" w:val="2007"/>
          <w:attr w:name="Day" w:val="24"/>
          <w:attr w:name="Month" w:val="8"/>
        </w:smartTagPr>
        <w:r w:rsidR="00F46222" w:rsidRPr="00D90E53">
          <w:t>Friday 24th August 2007</w:t>
        </w:r>
      </w:smartTag>
      <w:r w:rsidR="00F46222" w:rsidRPr="00D90E53">
        <w:t xml:space="preserve"> and the consultation period ended on </w:t>
      </w:r>
      <w:smartTag w:uri="urn:schemas-microsoft-com:office:smarttags" w:element="date">
        <w:smartTagPr>
          <w:attr w:name="Year" w:val="2007"/>
          <w:attr w:name="Day" w:val="21"/>
          <w:attr w:name="Month" w:val="9"/>
        </w:smartTagPr>
        <w:r w:rsidR="00F46222" w:rsidRPr="00D90E53">
          <w:t>21st September 2007</w:t>
        </w:r>
      </w:smartTag>
      <w:r w:rsidR="00F46222" w:rsidRPr="00D90E53">
        <w:t>.  Three responses were received from NIE Supply, Airtricity and ESBIE.</w:t>
      </w:r>
      <w:r w:rsidR="00954BB9" w:rsidRPr="00D90E53">
        <w:t xml:space="preserve">  These responses, along with additional financial information </w:t>
      </w:r>
      <w:r w:rsidR="000B32C0">
        <w:t>relevant to</w:t>
      </w:r>
      <w:r w:rsidR="00954BB9" w:rsidRPr="00D90E53">
        <w:t xml:space="preserve"> the 2007/08 tariff increase of 3.9% have been considered in making the decisions outlined in this paper.</w:t>
      </w:r>
    </w:p>
    <w:p w:rsidR="008640BB" w:rsidRPr="00D90E53" w:rsidRDefault="008640BB" w:rsidP="00B41129">
      <w:pPr>
        <w:jc w:val="both"/>
      </w:pPr>
    </w:p>
    <w:p w:rsidR="004D56B6" w:rsidRDefault="004D56B6" w:rsidP="00B41129">
      <w:pPr>
        <w:jc w:val="both"/>
      </w:pPr>
    </w:p>
    <w:p w:rsidR="00E135DD" w:rsidRPr="00D90E53" w:rsidRDefault="00E135DD" w:rsidP="00B41129">
      <w:pPr>
        <w:jc w:val="both"/>
      </w:pPr>
    </w:p>
    <w:p w:rsidR="008640BB" w:rsidRPr="00D90E53" w:rsidRDefault="008640BB" w:rsidP="00C30932">
      <w:pPr>
        <w:jc w:val="both"/>
        <w:outlineLvl w:val="0"/>
        <w:rPr>
          <w:b/>
          <w:sz w:val="40"/>
          <w:szCs w:val="40"/>
        </w:rPr>
      </w:pPr>
      <w:bookmarkStart w:id="13" w:name="_Toc184009280"/>
      <w:r w:rsidRPr="00D90E53">
        <w:rPr>
          <w:b/>
          <w:sz w:val="40"/>
          <w:szCs w:val="40"/>
        </w:rPr>
        <w:t>Proposals</w:t>
      </w:r>
      <w:bookmarkEnd w:id="13"/>
      <w:r w:rsidR="0025264C">
        <w:rPr>
          <w:b/>
          <w:sz w:val="40"/>
          <w:szCs w:val="40"/>
        </w:rPr>
        <w:fldChar w:fldCharType="begin"/>
      </w:r>
      <w:r w:rsidR="0025264C">
        <w:instrText xml:space="preserve"> TC "</w:instrText>
      </w:r>
      <w:bookmarkStart w:id="14" w:name="_Toc181605564"/>
      <w:r w:rsidR="0025264C" w:rsidRPr="00096D75">
        <w:rPr>
          <w:b/>
          <w:sz w:val="40"/>
          <w:szCs w:val="40"/>
        </w:rPr>
        <w:instrText>Proposals</w:instrText>
      </w:r>
      <w:bookmarkEnd w:id="14"/>
      <w:r w:rsidR="0025264C">
        <w:instrText xml:space="preserve">" \f C \l "1" </w:instrText>
      </w:r>
      <w:r w:rsidR="0025264C">
        <w:rPr>
          <w:b/>
          <w:sz w:val="40"/>
          <w:szCs w:val="40"/>
        </w:rPr>
        <w:fldChar w:fldCharType="end"/>
      </w:r>
    </w:p>
    <w:p w:rsidR="00D80C6E" w:rsidRPr="000749A6" w:rsidRDefault="00D80C6E" w:rsidP="00B41129">
      <w:pPr>
        <w:jc w:val="both"/>
      </w:pPr>
    </w:p>
    <w:p w:rsidR="001C423F" w:rsidRPr="000A7094" w:rsidRDefault="001C423F" w:rsidP="00C30932">
      <w:pPr>
        <w:jc w:val="both"/>
        <w:outlineLvl w:val="0"/>
        <w:rPr>
          <w:b/>
          <w:sz w:val="36"/>
          <w:szCs w:val="36"/>
        </w:rPr>
      </w:pPr>
      <w:bookmarkStart w:id="15" w:name="_Toc184009281"/>
      <w:r w:rsidRPr="000A7094">
        <w:rPr>
          <w:b/>
          <w:sz w:val="36"/>
          <w:szCs w:val="36"/>
        </w:rPr>
        <w:t>Form and Scope</w:t>
      </w:r>
      <w:bookmarkEnd w:id="15"/>
      <w:r w:rsidR="0025264C" w:rsidRPr="000A7094">
        <w:rPr>
          <w:b/>
          <w:sz w:val="36"/>
          <w:szCs w:val="36"/>
        </w:rPr>
        <w:fldChar w:fldCharType="begin"/>
      </w:r>
      <w:r w:rsidR="0025264C" w:rsidRPr="000A7094">
        <w:rPr>
          <w:b/>
          <w:sz w:val="36"/>
          <w:szCs w:val="36"/>
        </w:rPr>
        <w:instrText xml:space="preserve"> TC "</w:instrText>
      </w:r>
      <w:bookmarkStart w:id="16" w:name="_Toc181605565"/>
      <w:r w:rsidR="0025264C" w:rsidRPr="000A7094">
        <w:rPr>
          <w:b/>
          <w:sz w:val="36"/>
          <w:szCs w:val="36"/>
        </w:rPr>
        <w:instrText>Form and Scope</w:instrText>
      </w:r>
      <w:bookmarkEnd w:id="16"/>
      <w:r w:rsidR="0025264C" w:rsidRPr="000A7094">
        <w:rPr>
          <w:b/>
          <w:sz w:val="36"/>
          <w:szCs w:val="36"/>
        </w:rPr>
        <w:instrText xml:space="preserve">" \f C \l "2" </w:instrText>
      </w:r>
      <w:r w:rsidR="0025264C" w:rsidRPr="000A7094">
        <w:rPr>
          <w:b/>
          <w:sz w:val="36"/>
          <w:szCs w:val="36"/>
        </w:rPr>
        <w:fldChar w:fldCharType="end"/>
      </w:r>
    </w:p>
    <w:p w:rsidR="00D80C6E" w:rsidRPr="00D90E53" w:rsidRDefault="00D80C6E" w:rsidP="00B41129">
      <w:pPr>
        <w:jc w:val="both"/>
      </w:pPr>
    </w:p>
    <w:p w:rsidR="00977F8F" w:rsidRPr="00D90E53" w:rsidRDefault="001C423F" w:rsidP="00977F8F">
      <w:pPr>
        <w:jc w:val="both"/>
      </w:pPr>
      <w:r w:rsidRPr="00D90E53">
        <w:t>NIE propose</w:t>
      </w:r>
      <w:r w:rsidR="001D741B" w:rsidRPr="00D90E53">
        <w:t>d</w:t>
      </w:r>
      <w:r w:rsidRPr="00D90E53">
        <w:t xml:space="preserve"> that the current form and scope of the price control </w:t>
      </w:r>
      <w:r w:rsidR="001D741B" w:rsidRPr="00D90E53">
        <w:t xml:space="preserve">should </w:t>
      </w:r>
      <w:r w:rsidRPr="00D90E53">
        <w:t xml:space="preserve">continue i.e. </w:t>
      </w:r>
      <w:r w:rsidR="008640BB" w:rsidRPr="00D90E53">
        <w:t>revenue is</w:t>
      </w:r>
      <w:r w:rsidRPr="00D90E53">
        <w:t xml:space="preserve"> subject to RPI-X and the control will</w:t>
      </w:r>
      <w:r w:rsidR="00977F8F" w:rsidRPr="00D90E53">
        <w:t xml:space="preserve"> cover all NIE Supply customers;  one respondent suggested the price control be restricted to domestic and small business customers and thus large energy users should not come within the scope of the price control.  </w:t>
      </w:r>
    </w:p>
    <w:p w:rsidR="00977F8F" w:rsidRPr="00D90E53" w:rsidRDefault="00977F8F" w:rsidP="00977F8F">
      <w:pPr>
        <w:jc w:val="both"/>
      </w:pPr>
    </w:p>
    <w:p w:rsidR="00977F8F" w:rsidRPr="000A7094" w:rsidRDefault="00977F8F" w:rsidP="00C30932">
      <w:pPr>
        <w:jc w:val="both"/>
        <w:outlineLvl w:val="0"/>
        <w:rPr>
          <w:b/>
          <w:sz w:val="32"/>
          <w:szCs w:val="32"/>
        </w:rPr>
      </w:pPr>
      <w:bookmarkStart w:id="17" w:name="_Toc184009282"/>
      <w:r w:rsidRPr="000A7094">
        <w:rPr>
          <w:b/>
          <w:sz w:val="32"/>
          <w:szCs w:val="32"/>
        </w:rPr>
        <w:t>Utility Regulator Decision</w:t>
      </w:r>
      <w:bookmarkEnd w:id="17"/>
    </w:p>
    <w:p w:rsidR="00977F8F" w:rsidRPr="00D90E53" w:rsidRDefault="00977F8F" w:rsidP="00977F8F">
      <w:pPr>
        <w:jc w:val="both"/>
      </w:pPr>
    </w:p>
    <w:p w:rsidR="00163A58" w:rsidRPr="00D90E53" w:rsidRDefault="00977F8F" w:rsidP="00B41129">
      <w:pPr>
        <w:jc w:val="both"/>
      </w:pPr>
      <w:r w:rsidRPr="00D90E53">
        <w:t xml:space="preserve">The Utility Regulator is still of the view that with </w:t>
      </w:r>
      <w:r w:rsidR="00163A58" w:rsidRPr="00D90E53">
        <w:t xml:space="preserve">new </w:t>
      </w:r>
      <w:r w:rsidRPr="00D90E53">
        <w:t xml:space="preserve">retail and wholesale market </w:t>
      </w:r>
      <w:r w:rsidR="00163A58" w:rsidRPr="00D90E53">
        <w:t xml:space="preserve">arrangements </w:t>
      </w:r>
      <w:r w:rsidRPr="00D90E53">
        <w:t xml:space="preserve">and the </w:t>
      </w:r>
      <w:r w:rsidR="00163A58" w:rsidRPr="00D90E53">
        <w:t>uncertainty</w:t>
      </w:r>
      <w:r w:rsidRPr="00D90E53">
        <w:t xml:space="preserve"> this brings,</w:t>
      </w:r>
      <w:r w:rsidR="00163A58" w:rsidRPr="00D90E53">
        <w:t xml:space="preserve"> it would be prudent to allow the present approach to continue until the impact becomes clearer.  </w:t>
      </w:r>
      <w:r w:rsidRPr="00D90E53">
        <w:t>Since</w:t>
      </w:r>
      <w:r w:rsidR="001D741B" w:rsidRPr="00D90E53">
        <w:t xml:space="preserve"> the establishment of </w:t>
      </w:r>
      <w:r w:rsidR="00D27B19" w:rsidRPr="00D90E53">
        <w:t xml:space="preserve">retail </w:t>
      </w:r>
      <w:r w:rsidR="001D741B" w:rsidRPr="00D90E53">
        <w:t xml:space="preserve">market opening the majority of large users have migrated to other suppliers and the Utility Regulator </w:t>
      </w:r>
      <w:r w:rsidR="0004061C" w:rsidRPr="00D90E53">
        <w:t>takes the view that</w:t>
      </w:r>
      <w:r w:rsidR="001D741B" w:rsidRPr="00D90E53">
        <w:t xml:space="preserve"> NIE Supply’s remaining customers still require the safeguard of regulated tariffs while competition </w:t>
      </w:r>
      <w:r w:rsidR="0004061C" w:rsidRPr="00D90E53">
        <w:t>ha</w:t>
      </w:r>
      <w:r w:rsidR="001D741B" w:rsidRPr="00D90E53">
        <w:t xml:space="preserve">s yet to develop.  </w:t>
      </w:r>
      <w:r w:rsidR="00A41E8A" w:rsidRPr="00D90E53">
        <w:t xml:space="preserve">We </w:t>
      </w:r>
      <w:r w:rsidRPr="00D90E53">
        <w:t>still consider</w:t>
      </w:r>
      <w:r w:rsidR="00A41E8A" w:rsidRPr="00D90E53">
        <w:t xml:space="preserve"> that there is enough clarity on tariffs for larger users to ensure no cross-subsidy is </w:t>
      </w:r>
      <w:r w:rsidR="0004061C" w:rsidRPr="00D90E53">
        <w:t xml:space="preserve">being </w:t>
      </w:r>
      <w:r w:rsidR="00A41E8A" w:rsidRPr="00D90E53">
        <w:t xml:space="preserve">applied and </w:t>
      </w:r>
      <w:r w:rsidR="0004061C" w:rsidRPr="00D90E53">
        <w:t>consider</w:t>
      </w:r>
      <w:r w:rsidR="00A41E8A" w:rsidRPr="00D90E53">
        <w:t xml:space="preserve"> the costs associated with further separation of financial information are too high when balanced with the potential benefits to be gained by doing so.  </w:t>
      </w:r>
      <w:r w:rsidR="004123C6" w:rsidRPr="00D90E53">
        <w:t xml:space="preserve">Thus the </w:t>
      </w:r>
      <w:r w:rsidRPr="00D90E53">
        <w:t>decision</w:t>
      </w:r>
      <w:r w:rsidR="004123C6" w:rsidRPr="00D90E53">
        <w:t xml:space="preserve"> </w:t>
      </w:r>
      <w:r w:rsidRPr="00D90E53">
        <w:t>is</w:t>
      </w:r>
      <w:r w:rsidR="00163A58" w:rsidRPr="00D90E53">
        <w:t xml:space="preserve"> that the current form (RPI-X) and scope (all customer classes) of the price control remain the same for the period.</w:t>
      </w:r>
    </w:p>
    <w:p w:rsidR="00612AAB" w:rsidRPr="00D90E53" w:rsidRDefault="00612AAB" w:rsidP="00B41129">
      <w:pPr>
        <w:jc w:val="both"/>
      </w:pPr>
    </w:p>
    <w:p w:rsidR="00163A58" w:rsidRPr="00D90E53" w:rsidRDefault="00163A58" w:rsidP="00B41129">
      <w:pPr>
        <w:jc w:val="both"/>
      </w:pPr>
    </w:p>
    <w:p w:rsidR="00345A84" w:rsidRPr="00D90E53" w:rsidRDefault="00345A84" w:rsidP="00B41129">
      <w:pPr>
        <w:jc w:val="both"/>
      </w:pPr>
    </w:p>
    <w:p w:rsidR="001C423F" w:rsidRPr="000A7094" w:rsidRDefault="001C423F" w:rsidP="00C30932">
      <w:pPr>
        <w:jc w:val="both"/>
        <w:outlineLvl w:val="0"/>
        <w:rPr>
          <w:b/>
          <w:sz w:val="36"/>
          <w:szCs w:val="36"/>
        </w:rPr>
      </w:pPr>
      <w:bookmarkStart w:id="18" w:name="_Toc184009283"/>
      <w:r w:rsidRPr="000A7094">
        <w:rPr>
          <w:b/>
          <w:sz w:val="36"/>
          <w:szCs w:val="36"/>
        </w:rPr>
        <w:t>Duration</w:t>
      </w:r>
      <w:bookmarkEnd w:id="18"/>
      <w:r w:rsidR="0025264C" w:rsidRPr="000A7094">
        <w:rPr>
          <w:b/>
          <w:sz w:val="36"/>
          <w:szCs w:val="36"/>
        </w:rPr>
        <w:fldChar w:fldCharType="begin"/>
      </w:r>
      <w:r w:rsidR="0025264C" w:rsidRPr="000A7094">
        <w:rPr>
          <w:b/>
          <w:sz w:val="36"/>
          <w:szCs w:val="36"/>
        </w:rPr>
        <w:instrText xml:space="preserve"> TC "</w:instrText>
      </w:r>
      <w:bookmarkStart w:id="19" w:name="_Toc181605566"/>
      <w:r w:rsidR="0025264C" w:rsidRPr="000A7094">
        <w:rPr>
          <w:b/>
          <w:sz w:val="36"/>
          <w:szCs w:val="36"/>
        </w:rPr>
        <w:instrText>Duration</w:instrText>
      </w:r>
      <w:bookmarkEnd w:id="19"/>
      <w:r w:rsidR="0025264C" w:rsidRPr="000A7094">
        <w:rPr>
          <w:b/>
          <w:sz w:val="36"/>
          <w:szCs w:val="36"/>
        </w:rPr>
        <w:instrText xml:space="preserve">" \f C \l "2" </w:instrText>
      </w:r>
      <w:r w:rsidR="0025264C" w:rsidRPr="000A7094">
        <w:rPr>
          <w:b/>
          <w:sz w:val="36"/>
          <w:szCs w:val="36"/>
        </w:rPr>
        <w:fldChar w:fldCharType="end"/>
      </w:r>
    </w:p>
    <w:p w:rsidR="00D80C6E" w:rsidRPr="00D90E53" w:rsidRDefault="00D80C6E" w:rsidP="00B41129">
      <w:pPr>
        <w:jc w:val="both"/>
      </w:pPr>
    </w:p>
    <w:p w:rsidR="00163A58" w:rsidRPr="00D90E53" w:rsidRDefault="00A41E8A" w:rsidP="00B41129">
      <w:pPr>
        <w:jc w:val="both"/>
      </w:pPr>
      <w:r w:rsidRPr="00D90E53">
        <w:t>NIE Supply consider</w:t>
      </w:r>
      <w:r w:rsidR="00954BB9" w:rsidRPr="00D90E53">
        <w:t>ed</w:t>
      </w:r>
      <w:r w:rsidRPr="00D90E53">
        <w:t xml:space="preserve"> that the period of the price control should be relatively short so it can be revised in light of developments in the SEM and after </w:t>
      </w:r>
      <w:r w:rsidR="00D27B19" w:rsidRPr="00D90E53">
        <w:t xml:space="preserve">retail </w:t>
      </w:r>
      <w:r w:rsidRPr="00D90E53">
        <w:t xml:space="preserve">market opening.  </w:t>
      </w:r>
      <w:r w:rsidR="00F46222" w:rsidRPr="00D90E53">
        <w:t>NIE proposed</w:t>
      </w:r>
      <w:r w:rsidR="001C423F" w:rsidRPr="00D90E53">
        <w:t xml:space="preserve"> a three year price control running </w:t>
      </w:r>
      <w:r w:rsidRPr="00D90E53">
        <w:t xml:space="preserve">from April 2007 </w:t>
      </w:r>
      <w:r w:rsidR="001C423F" w:rsidRPr="00D90E53">
        <w:t>until March 2010</w:t>
      </w:r>
      <w:r w:rsidRPr="00D90E53">
        <w:t xml:space="preserve"> including activation of its Economic Purchasing Obligation from </w:t>
      </w:r>
      <w:smartTag w:uri="urn:schemas-microsoft-com:office:smarttags" w:element="date">
        <w:smartTagPr>
          <w:attr w:name="Year" w:val="2007"/>
          <w:attr w:name="Day" w:val="1"/>
          <w:attr w:name="Month" w:val="11"/>
        </w:smartTagPr>
        <w:r w:rsidRPr="00D90E53">
          <w:t>1 November 2007</w:t>
        </w:r>
      </w:smartTag>
      <w:r w:rsidR="00163A58" w:rsidRPr="00D90E53">
        <w:t>.</w:t>
      </w:r>
      <w:r w:rsidR="00F46222" w:rsidRPr="00D90E53">
        <w:t xml:space="preserve">  The Utility Regulator considered a </w:t>
      </w:r>
      <w:r w:rsidR="00163A58" w:rsidRPr="00D90E53">
        <w:t>number of options with regard to the period of the price control; a five year control may be desirable for many reasons, not least stability for tariffs</w:t>
      </w:r>
      <w:r w:rsidR="00D27B19" w:rsidRPr="00D90E53">
        <w:t xml:space="preserve"> and</w:t>
      </w:r>
      <w:r w:rsidR="0004061C" w:rsidRPr="00D90E53">
        <w:t xml:space="preserve"> the opportunity for incentive regulation to work effectively, as well as </w:t>
      </w:r>
      <w:r w:rsidR="00163A58" w:rsidRPr="00D90E53">
        <w:t>certainty for shareholders</w:t>
      </w:r>
      <w:r w:rsidR="00496709" w:rsidRPr="00D90E53">
        <w:t xml:space="preserve">. </w:t>
      </w:r>
      <w:r w:rsidR="00163A58" w:rsidRPr="00D90E53">
        <w:t xml:space="preserve"> </w:t>
      </w:r>
      <w:r w:rsidR="00496709" w:rsidRPr="00D90E53">
        <w:t>H</w:t>
      </w:r>
      <w:r w:rsidR="00163A58" w:rsidRPr="00D90E53">
        <w:t xml:space="preserve">owever, the new market arrangements bring uncertainty and whilst we are more </w:t>
      </w:r>
      <w:r w:rsidR="00496709" w:rsidRPr="00D90E53">
        <w:t>sure</w:t>
      </w:r>
      <w:r w:rsidR="00163A58" w:rsidRPr="00D90E53">
        <w:t xml:space="preserve"> of the likely </w:t>
      </w:r>
      <w:r w:rsidR="0004061C" w:rsidRPr="00D90E53">
        <w:t>pace of</w:t>
      </w:r>
      <w:r w:rsidR="00163A58" w:rsidRPr="00D90E53">
        <w:t xml:space="preserve"> </w:t>
      </w:r>
      <w:r w:rsidR="00D27B19" w:rsidRPr="00D90E53">
        <w:t xml:space="preserve">retail </w:t>
      </w:r>
      <w:r w:rsidR="00163A58" w:rsidRPr="00D90E53">
        <w:t xml:space="preserve">market opening, we are not yet sure </w:t>
      </w:r>
      <w:r w:rsidR="0004061C" w:rsidRPr="00D90E53">
        <w:t>how best to regulate NIE Supply under</w:t>
      </w:r>
      <w:r w:rsidR="00163A58" w:rsidRPr="00D90E53">
        <w:t xml:space="preserve"> the new wholesale market arrangements.  Since the all-island market </w:t>
      </w:r>
      <w:r w:rsidR="00C129AA">
        <w:t>went live on 1st</w:t>
      </w:r>
      <w:r w:rsidR="00163A58" w:rsidRPr="00D90E53">
        <w:t xml:space="preserve"> November, a one year price control to April 2008 would add </w:t>
      </w:r>
      <w:r w:rsidR="00496709" w:rsidRPr="00D90E53">
        <w:t>little</w:t>
      </w:r>
      <w:r w:rsidR="00163A58" w:rsidRPr="00D90E53">
        <w:t xml:space="preserve"> additional information, experience</w:t>
      </w:r>
      <w:r w:rsidR="00E37A2F" w:rsidRPr="00D90E53">
        <w:t>,</w:t>
      </w:r>
      <w:r w:rsidR="00163A58" w:rsidRPr="00D90E53">
        <w:t xml:space="preserve"> nor certainty to ne</w:t>
      </w:r>
      <w:r w:rsidR="00E37A2F" w:rsidRPr="00D90E53">
        <w:t xml:space="preserve">w arrangements from then.  </w:t>
      </w:r>
      <w:r w:rsidR="004123C6" w:rsidRPr="00D90E53">
        <w:t>Accordingly</w:t>
      </w:r>
      <w:r w:rsidR="00163A58" w:rsidRPr="00D90E53">
        <w:t xml:space="preserve"> </w:t>
      </w:r>
      <w:r w:rsidR="004123C6" w:rsidRPr="00D90E53">
        <w:t>we</w:t>
      </w:r>
      <w:r w:rsidR="00163A58" w:rsidRPr="00D90E53">
        <w:t xml:space="preserve"> proposed that the price control period run from April 2007 to April 2009 which will include 17 months operation within the new </w:t>
      </w:r>
      <w:r w:rsidR="00496709" w:rsidRPr="00D90E53">
        <w:t>market environment</w:t>
      </w:r>
      <w:r w:rsidR="00163A58" w:rsidRPr="00D90E53">
        <w:t>.</w:t>
      </w:r>
      <w:r w:rsidR="004123C6" w:rsidRPr="00D90E53">
        <w:t xml:space="preserve">  One respondent did suggest the price control period should be aligned with the re-aligned tariff year (October to September).</w:t>
      </w:r>
    </w:p>
    <w:p w:rsidR="00F46222" w:rsidRPr="00D90E53" w:rsidRDefault="00F46222" w:rsidP="00B41129">
      <w:pPr>
        <w:jc w:val="both"/>
      </w:pPr>
    </w:p>
    <w:p w:rsidR="008C1354" w:rsidRPr="000A7094" w:rsidRDefault="00F46222" w:rsidP="00C30932">
      <w:pPr>
        <w:jc w:val="both"/>
        <w:outlineLvl w:val="0"/>
        <w:rPr>
          <w:b/>
          <w:sz w:val="32"/>
          <w:szCs w:val="32"/>
        </w:rPr>
      </w:pPr>
      <w:bookmarkStart w:id="20" w:name="_Toc184009284"/>
      <w:r w:rsidRPr="000A7094">
        <w:rPr>
          <w:b/>
          <w:sz w:val="32"/>
          <w:szCs w:val="32"/>
        </w:rPr>
        <w:t>Utility Regulator Decision</w:t>
      </w:r>
      <w:bookmarkEnd w:id="20"/>
    </w:p>
    <w:p w:rsidR="00F46222" w:rsidRPr="00D90E53" w:rsidRDefault="00F46222" w:rsidP="00F46222">
      <w:pPr>
        <w:jc w:val="both"/>
      </w:pPr>
    </w:p>
    <w:p w:rsidR="00F46222" w:rsidRPr="00D90E53" w:rsidRDefault="00F46222" w:rsidP="00F46222">
      <w:pPr>
        <w:jc w:val="both"/>
      </w:pPr>
      <w:r w:rsidRPr="00D90E53">
        <w:t xml:space="preserve">NIE Supply has agreed with the Utility Regulator </w:t>
      </w:r>
      <w:r w:rsidR="004123C6" w:rsidRPr="00D90E53">
        <w:t>and therefore</w:t>
      </w:r>
      <w:r w:rsidRPr="00D90E53">
        <w:t xml:space="preserve"> the price control will run from </w:t>
      </w:r>
      <w:smartTag w:uri="urn:schemas-microsoft-com:office:smarttags" w:element="date">
        <w:smartTagPr>
          <w:attr w:name="Month" w:val="4"/>
          <w:attr w:name="Day" w:val="1"/>
          <w:attr w:name="Year" w:val="2007"/>
        </w:smartTagPr>
        <w:r w:rsidR="00213EC0">
          <w:t>1</w:t>
        </w:r>
        <w:r w:rsidR="00213EC0" w:rsidRPr="00213EC0">
          <w:rPr>
            <w:vertAlign w:val="superscript"/>
          </w:rPr>
          <w:t>st</w:t>
        </w:r>
        <w:r w:rsidR="00213EC0">
          <w:t xml:space="preserve"> </w:t>
        </w:r>
        <w:r w:rsidRPr="00D90E53">
          <w:t>April 2007</w:t>
        </w:r>
      </w:smartTag>
      <w:r w:rsidRPr="00D90E53">
        <w:t xml:space="preserve"> until </w:t>
      </w:r>
      <w:smartTag w:uri="urn:schemas-microsoft-com:office:smarttags" w:element="date">
        <w:smartTagPr>
          <w:attr w:name="Month" w:val="3"/>
          <w:attr w:name="Day" w:val="31"/>
          <w:attr w:name="Year" w:val="2009"/>
        </w:smartTagPr>
        <w:r w:rsidR="00213EC0">
          <w:t>31</w:t>
        </w:r>
        <w:r w:rsidR="00213EC0" w:rsidRPr="00213EC0">
          <w:rPr>
            <w:vertAlign w:val="superscript"/>
          </w:rPr>
          <w:t>st</w:t>
        </w:r>
        <w:r w:rsidR="00213EC0">
          <w:t xml:space="preserve"> </w:t>
        </w:r>
        <w:r w:rsidRPr="00D90E53">
          <w:t>March 2009</w:t>
        </w:r>
      </w:smartTag>
      <w:r w:rsidRPr="00D90E53">
        <w:t>.</w:t>
      </w:r>
      <w:r w:rsidR="00612AAB" w:rsidRPr="00D90E53">
        <w:t xml:space="preserve">  Alignment with the tariff year will be considered as part of the overall on-going exercise of observation, information-gathering</w:t>
      </w:r>
      <w:r w:rsidR="009E7942" w:rsidRPr="00D90E53">
        <w:t xml:space="preserve">, discussions </w:t>
      </w:r>
      <w:r w:rsidR="00612AAB" w:rsidRPr="00D90E53">
        <w:t xml:space="preserve">and decision-making between now and the next price control </w:t>
      </w:r>
      <w:r w:rsidR="00D27B19" w:rsidRPr="00D90E53">
        <w:t>review</w:t>
      </w:r>
      <w:r w:rsidR="00612AAB" w:rsidRPr="00D90E53">
        <w:t>.</w:t>
      </w:r>
    </w:p>
    <w:p w:rsidR="00F46222" w:rsidRDefault="00F46222" w:rsidP="00B41129">
      <w:pPr>
        <w:jc w:val="both"/>
      </w:pPr>
    </w:p>
    <w:p w:rsidR="00E135DD" w:rsidRDefault="00E135DD" w:rsidP="00B41129">
      <w:pPr>
        <w:jc w:val="both"/>
      </w:pPr>
    </w:p>
    <w:p w:rsidR="00E135DD" w:rsidRPr="00D90E53" w:rsidRDefault="00E135DD" w:rsidP="00B41129">
      <w:pPr>
        <w:jc w:val="both"/>
      </w:pPr>
    </w:p>
    <w:p w:rsidR="001C423F" w:rsidRPr="000A7094" w:rsidRDefault="001C423F" w:rsidP="00C30932">
      <w:pPr>
        <w:jc w:val="both"/>
        <w:outlineLvl w:val="0"/>
        <w:rPr>
          <w:b/>
          <w:sz w:val="36"/>
          <w:szCs w:val="36"/>
        </w:rPr>
      </w:pPr>
      <w:bookmarkStart w:id="21" w:name="_Toc184009285"/>
      <w:r w:rsidRPr="000A7094">
        <w:rPr>
          <w:b/>
          <w:sz w:val="36"/>
          <w:szCs w:val="36"/>
        </w:rPr>
        <w:t>Operating Costs</w:t>
      </w:r>
      <w:bookmarkEnd w:id="21"/>
      <w:r w:rsidR="0025264C" w:rsidRPr="000A7094">
        <w:rPr>
          <w:b/>
          <w:sz w:val="36"/>
          <w:szCs w:val="36"/>
        </w:rPr>
        <w:fldChar w:fldCharType="begin"/>
      </w:r>
      <w:r w:rsidR="0025264C" w:rsidRPr="000A7094">
        <w:rPr>
          <w:b/>
          <w:sz w:val="36"/>
          <w:szCs w:val="36"/>
        </w:rPr>
        <w:instrText xml:space="preserve"> TC "</w:instrText>
      </w:r>
      <w:bookmarkStart w:id="22" w:name="_Toc181605567"/>
      <w:r w:rsidR="0025264C" w:rsidRPr="000A7094">
        <w:rPr>
          <w:b/>
          <w:sz w:val="36"/>
          <w:szCs w:val="36"/>
        </w:rPr>
        <w:instrText>Operating Costs</w:instrText>
      </w:r>
      <w:bookmarkEnd w:id="22"/>
      <w:r w:rsidR="0025264C" w:rsidRPr="000A7094">
        <w:rPr>
          <w:b/>
          <w:sz w:val="36"/>
          <w:szCs w:val="36"/>
        </w:rPr>
        <w:instrText xml:space="preserve">" \f C \l "2" </w:instrText>
      </w:r>
      <w:r w:rsidR="0025264C" w:rsidRPr="000A7094">
        <w:rPr>
          <w:b/>
          <w:sz w:val="36"/>
          <w:szCs w:val="36"/>
        </w:rPr>
        <w:fldChar w:fldCharType="end"/>
      </w:r>
    </w:p>
    <w:p w:rsidR="00977F8F" w:rsidRPr="00D90E53" w:rsidRDefault="00977F8F" w:rsidP="00B41129">
      <w:pPr>
        <w:jc w:val="both"/>
      </w:pPr>
    </w:p>
    <w:p w:rsidR="00D80C6E" w:rsidRPr="00D90E53" w:rsidRDefault="001D741B" w:rsidP="00B41129">
      <w:pPr>
        <w:jc w:val="both"/>
      </w:pPr>
      <w:r w:rsidRPr="00D90E53">
        <w:t xml:space="preserve">The Utility Regulator </w:t>
      </w:r>
      <w:r w:rsidR="009E7942" w:rsidRPr="00D90E53">
        <w:t xml:space="preserve">proposed adjustments to </w:t>
      </w:r>
      <w:r w:rsidR="0004061C" w:rsidRPr="00D90E53">
        <w:t>NIE Supply’s</w:t>
      </w:r>
      <w:r w:rsidRPr="00D90E53">
        <w:t xml:space="preserve"> proposed operating costs with regard to 2 areas of expenditure</w:t>
      </w:r>
      <w:r w:rsidR="0004061C" w:rsidRPr="00D90E53">
        <w:t xml:space="preserve"> – salary costs and bad debt</w:t>
      </w:r>
      <w:r w:rsidRPr="00D90E53">
        <w:t>.</w:t>
      </w:r>
    </w:p>
    <w:p w:rsidR="001D741B" w:rsidRDefault="001D741B" w:rsidP="00B41129">
      <w:pPr>
        <w:jc w:val="both"/>
      </w:pPr>
    </w:p>
    <w:p w:rsidR="00E135DD" w:rsidRDefault="00E135DD" w:rsidP="00B41129">
      <w:pPr>
        <w:jc w:val="both"/>
      </w:pPr>
    </w:p>
    <w:p w:rsidR="000A7094" w:rsidRPr="00D90E53" w:rsidRDefault="000A7094" w:rsidP="00B41129">
      <w:pPr>
        <w:jc w:val="both"/>
      </w:pPr>
    </w:p>
    <w:p w:rsidR="00163A58" w:rsidRPr="000A7094" w:rsidRDefault="00163A58" w:rsidP="00C30932">
      <w:pPr>
        <w:jc w:val="both"/>
        <w:outlineLvl w:val="0"/>
        <w:rPr>
          <w:b/>
          <w:sz w:val="32"/>
          <w:szCs w:val="32"/>
        </w:rPr>
      </w:pPr>
      <w:bookmarkStart w:id="23" w:name="_Toc184009286"/>
      <w:r w:rsidRPr="000A7094">
        <w:rPr>
          <w:b/>
          <w:sz w:val="32"/>
          <w:szCs w:val="32"/>
        </w:rPr>
        <w:t>Salaries</w:t>
      </w:r>
      <w:bookmarkEnd w:id="23"/>
      <w:r w:rsidR="0025264C" w:rsidRPr="000A7094">
        <w:rPr>
          <w:b/>
          <w:sz w:val="32"/>
          <w:szCs w:val="32"/>
        </w:rPr>
        <w:fldChar w:fldCharType="begin"/>
      </w:r>
      <w:r w:rsidR="0025264C" w:rsidRPr="000A7094">
        <w:rPr>
          <w:b/>
          <w:sz w:val="32"/>
          <w:szCs w:val="32"/>
        </w:rPr>
        <w:instrText xml:space="preserve"> TC "</w:instrText>
      </w:r>
      <w:bookmarkStart w:id="24" w:name="_Toc181605568"/>
      <w:r w:rsidR="0025264C" w:rsidRPr="000A7094">
        <w:rPr>
          <w:b/>
          <w:sz w:val="32"/>
          <w:szCs w:val="32"/>
        </w:rPr>
        <w:instrText>Salaries</w:instrText>
      </w:r>
      <w:bookmarkEnd w:id="24"/>
      <w:r w:rsidR="0025264C" w:rsidRPr="000A7094">
        <w:rPr>
          <w:b/>
          <w:sz w:val="32"/>
          <w:szCs w:val="32"/>
        </w:rPr>
        <w:instrText xml:space="preserve">" \f C \l "3" </w:instrText>
      </w:r>
      <w:r w:rsidR="0025264C" w:rsidRPr="000A7094">
        <w:rPr>
          <w:b/>
          <w:sz w:val="32"/>
          <w:szCs w:val="32"/>
        </w:rPr>
        <w:fldChar w:fldCharType="end"/>
      </w:r>
    </w:p>
    <w:p w:rsidR="00D80C6E" w:rsidRPr="00D90E53" w:rsidRDefault="00D80C6E" w:rsidP="00B41129">
      <w:pPr>
        <w:jc w:val="both"/>
      </w:pPr>
    </w:p>
    <w:p w:rsidR="001C423F" w:rsidRPr="00D90E53" w:rsidRDefault="00C129AA" w:rsidP="00B41129">
      <w:pPr>
        <w:jc w:val="both"/>
      </w:pPr>
      <w:r>
        <w:t>The Supply business</w:t>
      </w:r>
      <w:r w:rsidR="001C423F" w:rsidRPr="00D90E53">
        <w:t xml:space="preserve"> has included additional costs for:</w:t>
      </w:r>
    </w:p>
    <w:p w:rsidR="00496709" w:rsidRPr="00D90E53" w:rsidRDefault="00496709" w:rsidP="00B41129">
      <w:pPr>
        <w:jc w:val="both"/>
      </w:pPr>
    </w:p>
    <w:tbl>
      <w:tblPr>
        <w:tblStyle w:val="TableGrid"/>
        <w:tblW w:w="7930" w:type="dxa"/>
        <w:jc w:val="center"/>
        <w:tblInd w:w="669" w:type="dxa"/>
        <w:tblLook w:val="01E0"/>
      </w:tblPr>
      <w:tblGrid>
        <w:gridCol w:w="1122"/>
        <w:gridCol w:w="561"/>
        <w:gridCol w:w="6247"/>
      </w:tblGrid>
      <w:tr w:rsidR="00496709" w:rsidRPr="00D90E53">
        <w:trPr>
          <w:jc w:val="center"/>
        </w:trPr>
        <w:tc>
          <w:tcPr>
            <w:tcW w:w="1122" w:type="dxa"/>
            <w:vMerge w:val="restart"/>
          </w:tcPr>
          <w:p w:rsidR="00496709" w:rsidRPr="00D90E53" w:rsidRDefault="00496709" w:rsidP="00B41129">
            <w:pPr>
              <w:jc w:val="both"/>
            </w:pPr>
            <w:r w:rsidRPr="00D90E53">
              <w:t>2007/08</w:t>
            </w:r>
          </w:p>
        </w:tc>
        <w:tc>
          <w:tcPr>
            <w:tcW w:w="561" w:type="dxa"/>
          </w:tcPr>
          <w:p w:rsidR="00496709" w:rsidRPr="00D90E53" w:rsidRDefault="00496709" w:rsidP="00B41129">
            <w:pPr>
              <w:jc w:val="both"/>
            </w:pPr>
            <w:r w:rsidRPr="00D90E53">
              <w:t>3</w:t>
            </w:r>
          </w:p>
        </w:tc>
        <w:tc>
          <w:tcPr>
            <w:tcW w:w="6247" w:type="dxa"/>
          </w:tcPr>
          <w:p w:rsidR="00496709" w:rsidRPr="00D90E53" w:rsidRDefault="00496709" w:rsidP="00B41129">
            <w:pPr>
              <w:jc w:val="both"/>
            </w:pPr>
            <w:r w:rsidRPr="00D90E53">
              <w:t>New trading and settlement functions within the business in the new market framework</w:t>
            </w:r>
          </w:p>
        </w:tc>
      </w:tr>
      <w:tr w:rsidR="00496709" w:rsidRPr="00D90E53">
        <w:trPr>
          <w:jc w:val="center"/>
        </w:trPr>
        <w:tc>
          <w:tcPr>
            <w:tcW w:w="1122" w:type="dxa"/>
            <w:vMerge/>
          </w:tcPr>
          <w:p w:rsidR="00496709" w:rsidRPr="00D90E53" w:rsidRDefault="00496709" w:rsidP="00B41129">
            <w:pPr>
              <w:jc w:val="both"/>
            </w:pPr>
          </w:p>
        </w:tc>
        <w:tc>
          <w:tcPr>
            <w:tcW w:w="561" w:type="dxa"/>
          </w:tcPr>
          <w:p w:rsidR="00496709" w:rsidRPr="00D90E53" w:rsidRDefault="00496709" w:rsidP="00B41129">
            <w:pPr>
              <w:jc w:val="both"/>
            </w:pPr>
            <w:r w:rsidRPr="00D90E53">
              <w:t>2</w:t>
            </w:r>
          </w:p>
        </w:tc>
        <w:tc>
          <w:tcPr>
            <w:tcW w:w="6247" w:type="dxa"/>
          </w:tcPr>
          <w:p w:rsidR="00496709" w:rsidRPr="00D90E53" w:rsidRDefault="00496709" w:rsidP="00B41129">
            <w:pPr>
              <w:jc w:val="both"/>
            </w:pPr>
            <w:r w:rsidRPr="00D90E53">
              <w:t>Field Service personnel for customer-facing field work</w:t>
            </w:r>
          </w:p>
        </w:tc>
      </w:tr>
      <w:tr w:rsidR="00496709" w:rsidRPr="00D90E53">
        <w:trPr>
          <w:jc w:val="center"/>
        </w:trPr>
        <w:tc>
          <w:tcPr>
            <w:tcW w:w="1122" w:type="dxa"/>
            <w:vMerge/>
          </w:tcPr>
          <w:p w:rsidR="00496709" w:rsidRPr="00D90E53" w:rsidRDefault="00496709" w:rsidP="00B41129">
            <w:pPr>
              <w:jc w:val="both"/>
            </w:pPr>
          </w:p>
        </w:tc>
        <w:tc>
          <w:tcPr>
            <w:tcW w:w="561" w:type="dxa"/>
          </w:tcPr>
          <w:p w:rsidR="00496709" w:rsidRPr="00D90E53" w:rsidRDefault="00496709" w:rsidP="00B41129">
            <w:pPr>
              <w:jc w:val="both"/>
            </w:pPr>
            <w:r w:rsidRPr="00D90E53">
              <w:t>2</w:t>
            </w:r>
          </w:p>
        </w:tc>
        <w:tc>
          <w:tcPr>
            <w:tcW w:w="6247" w:type="dxa"/>
          </w:tcPr>
          <w:p w:rsidR="00496709" w:rsidRPr="00D90E53" w:rsidRDefault="00496709" w:rsidP="00B41129">
            <w:pPr>
              <w:jc w:val="both"/>
            </w:pPr>
            <w:r w:rsidRPr="00D90E53">
              <w:t xml:space="preserve">Support Services personnel </w:t>
            </w:r>
          </w:p>
        </w:tc>
      </w:tr>
      <w:tr w:rsidR="00496709" w:rsidRPr="00D90E53">
        <w:trPr>
          <w:jc w:val="center"/>
        </w:trPr>
        <w:tc>
          <w:tcPr>
            <w:tcW w:w="1122" w:type="dxa"/>
            <w:vMerge w:val="restart"/>
          </w:tcPr>
          <w:p w:rsidR="00496709" w:rsidRPr="00D90E53" w:rsidRDefault="00496709" w:rsidP="00B41129">
            <w:pPr>
              <w:jc w:val="both"/>
            </w:pPr>
            <w:r w:rsidRPr="00D90E53">
              <w:t>2008/09</w:t>
            </w:r>
          </w:p>
        </w:tc>
        <w:tc>
          <w:tcPr>
            <w:tcW w:w="561" w:type="dxa"/>
          </w:tcPr>
          <w:p w:rsidR="00496709" w:rsidRPr="00D90E53" w:rsidRDefault="00496709" w:rsidP="00B41129">
            <w:pPr>
              <w:jc w:val="both"/>
            </w:pPr>
            <w:r w:rsidRPr="00D90E53">
              <w:t>2</w:t>
            </w:r>
          </w:p>
        </w:tc>
        <w:tc>
          <w:tcPr>
            <w:tcW w:w="6247" w:type="dxa"/>
          </w:tcPr>
          <w:p w:rsidR="00496709" w:rsidRPr="00D90E53" w:rsidRDefault="00496709" w:rsidP="00B41129">
            <w:pPr>
              <w:jc w:val="both"/>
            </w:pPr>
            <w:r w:rsidRPr="00D90E53">
              <w:t>salaries relating to NFFO</w:t>
            </w:r>
          </w:p>
        </w:tc>
      </w:tr>
      <w:tr w:rsidR="00496709" w:rsidRPr="00D90E53">
        <w:trPr>
          <w:jc w:val="center"/>
        </w:trPr>
        <w:tc>
          <w:tcPr>
            <w:tcW w:w="1122" w:type="dxa"/>
            <w:vMerge/>
          </w:tcPr>
          <w:p w:rsidR="00496709" w:rsidRPr="00D90E53" w:rsidRDefault="00496709" w:rsidP="00B41129">
            <w:pPr>
              <w:jc w:val="both"/>
            </w:pPr>
          </w:p>
        </w:tc>
        <w:tc>
          <w:tcPr>
            <w:tcW w:w="561" w:type="dxa"/>
          </w:tcPr>
          <w:p w:rsidR="00496709" w:rsidRPr="00D90E53" w:rsidRDefault="00496709" w:rsidP="00B41129">
            <w:pPr>
              <w:jc w:val="both"/>
            </w:pPr>
            <w:r w:rsidRPr="00D90E53">
              <w:t>1</w:t>
            </w:r>
          </w:p>
        </w:tc>
        <w:tc>
          <w:tcPr>
            <w:tcW w:w="6247" w:type="dxa"/>
          </w:tcPr>
          <w:p w:rsidR="00496709" w:rsidRPr="00D90E53" w:rsidRDefault="00496709" w:rsidP="00B41129">
            <w:pPr>
              <w:jc w:val="both"/>
            </w:pPr>
            <w:r w:rsidRPr="00D90E53">
              <w:t>IT function</w:t>
            </w:r>
          </w:p>
        </w:tc>
      </w:tr>
    </w:tbl>
    <w:p w:rsidR="00163A58" w:rsidRPr="00D90E53" w:rsidRDefault="00163A58" w:rsidP="00B41129">
      <w:pPr>
        <w:jc w:val="both"/>
      </w:pPr>
    </w:p>
    <w:p w:rsidR="00D31036" w:rsidRPr="00D90E53" w:rsidRDefault="00496709" w:rsidP="00B41129">
      <w:pPr>
        <w:jc w:val="both"/>
      </w:pPr>
      <w:r w:rsidRPr="00D90E53">
        <w:t xml:space="preserve">Whilst </w:t>
      </w:r>
      <w:r w:rsidR="009E7942" w:rsidRPr="00D90E53">
        <w:t>the Utility Regulator was</w:t>
      </w:r>
      <w:r w:rsidRPr="00D90E53">
        <w:t xml:space="preserve"> satisfied of the requirement for some additional staff, we </w:t>
      </w:r>
      <w:r w:rsidR="009E7942" w:rsidRPr="00D90E53">
        <w:t>were</w:t>
      </w:r>
      <w:r w:rsidRPr="00D90E53">
        <w:t xml:space="preserve"> not convinced that all the additional posts are necessary</w:t>
      </w:r>
      <w:r w:rsidR="009E7942" w:rsidRPr="00D90E53">
        <w:t xml:space="preserve">.  We accepted the requirement for three trading and settlement posts and proposed allowing the </w:t>
      </w:r>
      <w:r w:rsidRPr="00D90E53">
        <w:t xml:space="preserve">two Field Service Staff </w:t>
      </w:r>
      <w:r w:rsidR="009E7942" w:rsidRPr="00D90E53">
        <w:t>transfers from T&amp;D with respondent adjustments to</w:t>
      </w:r>
      <w:r w:rsidRPr="00D90E53">
        <w:t xml:space="preserve"> the T&amp;D price control to reflect the transfer.</w:t>
      </w:r>
      <w:r w:rsidR="009E7942" w:rsidRPr="00D90E53">
        <w:t xml:space="preserve">  We proposed to allow two</w:t>
      </w:r>
      <w:r w:rsidR="00D31036" w:rsidRPr="00D90E53">
        <w:t xml:space="preserve"> Support Service personnel (1 debt and 1 cashier) on the basis that the bill for agency staff is reduced accordingly over the next 2 years.</w:t>
      </w:r>
      <w:r w:rsidR="009E7942" w:rsidRPr="00D90E53">
        <w:t xml:space="preserve">  The IT post during the second year was also approved however, the Utility Regulator proposed just one staff member to manage NFFO, as per our agreement with NIE </w:t>
      </w:r>
      <w:r w:rsidR="00B02599">
        <w:t>Supply outside of</w:t>
      </w:r>
      <w:r w:rsidR="009E7942" w:rsidRPr="00D90E53">
        <w:t xml:space="preserve"> the price control</w:t>
      </w:r>
      <w:r w:rsidR="00B02599">
        <w:t xml:space="preserve"> process</w:t>
      </w:r>
      <w:r w:rsidR="009E7942" w:rsidRPr="00D90E53">
        <w:t>.</w:t>
      </w:r>
    </w:p>
    <w:p w:rsidR="00D31036" w:rsidRPr="00D90E53" w:rsidRDefault="00D31036" w:rsidP="00B41129">
      <w:pPr>
        <w:jc w:val="both"/>
      </w:pPr>
    </w:p>
    <w:p w:rsidR="009E7942" w:rsidRPr="000A7094" w:rsidRDefault="009E7942" w:rsidP="00C30932">
      <w:pPr>
        <w:jc w:val="both"/>
        <w:outlineLvl w:val="0"/>
        <w:rPr>
          <w:b/>
          <w:sz w:val="32"/>
          <w:szCs w:val="32"/>
        </w:rPr>
      </w:pPr>
      <w:bookmarkStart w:id="25" w:name="_Toc184009287"/>
      <w:r w:rsidRPr="000A7094">
        <w:rPr>
          <w:b/>
          <w:sz w:val="32"/>
          <w:szCs w:val="32"/>
        </w:rPr>
        <w:t xml:space="preserve">Utility Regulator </w:t>
      </w:r>
      <w:r w:rsidR="006948CC" w:rsidRPr="000A7094">
        <w:rPr>
          <w:b/>
          <w:sz w:val="32"/>
          <w:szCs w:val="32"/>
        </w:rPr>
        <w:t>Decision</w:t>
      </w:r>
      <w:bookmarkEnd w:id="25"/>
    </w:p>
    <w:p w:rsidR="00D31036" w:rsidRPr="00D90E53" w:rsidRDefault="00D31036" w:rsidP="00B41129">
      <w:pPr>
        <w:jc w:val="both"/>
      </w:pPr>
    </w:p>
    <w:p w:rsidR="00163A58" w:rsidRPr="00D90E53" w:rsidRDefault="00752E7A" w:rsidP="00B41129">
      <w:pPr>
        <w:jc w:val="both"/>
      </w:pPr>
      <w:r w:rsidRPr="00D90E53">
        <w:t xml:space="preserve">The Utility Regulator will allow NIE </w:t>
      </w:r>
      <w:r w:rsidR="00D27B19" w:rsidRPr="00D90E53">
        <w:t xml:space="preserve">Supply </w:t>
      </w:r>
      <w:r w:rsidRPr="00D90E53">
        <w:t>proposals as outlined above.  N</w:t>
      </w:r>
      <w:r w:rsidR="000B32C0">
        <w:t>IE Supply’s response expressed ‘</w:t>
      </w:r>
      <w:r w:rsidRPr="00D90E53">
        <w:t>disappointment that NIAUR has disallowed 1 settlement position relating to the NFFO c</w:t>
      </w:r>
      <w:r w:rsidR="000B32C0">
        <w:t>ontracts’</w:t>
      </w:r>
      <w:r w:rsidRPr="00D90E53">
        <w:t xml:space="preserve"> however, the decision with regard to the management of these contracts, including number of staff required, was agreed between NIE Supply and </w:t>
      </w:r>
      <w:r w:rsidR="00213EC0">
        <w:t>the Utility Regulator</w:t>
      </w:r>
      <w:r w:rsidRPr="00D90E53">
        <w:t xml:space="preserve"> in a process outside of the price control process and this decision purely reflects what had already been agreed.</w:t>
      </w:r>
      <w:r w:rsidR="00725FF1" w:rsidRPr="00D90E53">
        <w:t xml:space="preserve">  </w:t>
      </w:r>
      <w:r w:rsidR="00B02599">
        <w:t>The pr</w:t>
      </w:r>
      <w:r w:rsidR="00C40E77">
        <w:t>i</w:t>
      </w:r>
      <w:r w:rsidR="00B02599">
        <w:t>ce control allowance for s</w:t>
      </w:r>
      <w:r w:rsidR="00725FF1" w:rsidRPr="00D90E53">
        <w:t>alary costs will be:</w:t>
      </w:r>
    </w:p>
    <w:p w:rsidR="00725FF1" w:rsidRPr="00D90E53" w:rsidRDefault="00725FF1" w:rsidP="00B41129">
      <w:pPr>
        <w:jc w:val="both"/>
      </w:pPr>
    </w:p>
    <w:tbl>
      <w:tblPr>
        <w:tblW w:w="6124" w:type="dxa"/>
        <w:jc w:val="center"/>
        <w:tblInd w:w="96" w:type="dxa"/>
        <w:tblLook w:val="0000"/>
      </w:tblPr>
      <w:tblGrid>
        <w:gridCol w:w="3064"/>
        <w:gridCol w:w="1020"/>
        <w:gridCol w:w="1020"/>
        <w:gridCol w:w="1020"/>
      </w:tblGrid>
      <w:tr w:rsidR="000B4AA4" w:rsidRPr="00D90E53">
        <w:trPr>
          <w:trHeight w:val="264"/>
          <w:jc w:val="center"/>
        </w:trPr>
        <w:tc>
          <w:tcPr>
            <w:tcW w:w="3064" w:type="dxa"/>
            <w:tcBorders>
              <w:top w:val="single" w:sz="4" w:space="0" w:color="auto"/>
              <w:left w:val="single" w:sz="4" w:space="0" w:color="auto"/>
              <w:bottom w:val="nil"/>
              <w:right w:val="single" w:sz="4" w:space="0" w:color="auto"/>
            </w:tcBorders>
            <w:shd w:val="clear" w:color="auto" w:fill="auto"/>
            <w:noWrap/>
            <w:vAlign w:val="bottom"/>
          </w:tcPr>
          <w:p w:rsidR="000B4AA4" w:rsidRPr="00D90E53" w:rsidRDefault="000B4AA4">
            <w:pPr>
              <w:rPr>
                <w:rFonts w:cs="Arial"/>
                <w:b/>
                <w:bCs/>
                <w:sz w:val="20"/>
                <w:szCs w:val="20"/>
              </w:rPr>
            </w:pPr>
            <w:r w:rsidRPr="00D90E53">
              <w:rPr>
                <w:rFonts w:cs="Arial"/>
                <w:b/>
                <w:bCs/>
                <w:sz w:val="20"/>
                <w:szCs w:val="20"/>
              </w:rPr>
              <w:t>2006/07 Prices</w:t>
            </w:r>
          </w:p>
        </w:tc>
        <w:tc>
          <w:tcPr>
            <w:tcW w:w="1020" w:type="dxa"/>
            <w:tcBorders>
              <w:top w:val="single" w:sz="4" w:space="0" w:color="auto"/>
              <w:left w:val="nil"/>
              <w:bottom w:val="nil"/>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2006/07</w:t>
            </w:r>
          </w:p>
        </w:tc>
        <w:tc>
          <w:tcPr>
            <w:tcW w:w="1020" w:type="dxa"/>
            <w:tcBorders>
              <w:top w:val="single" w:sz="4" w:space="0" w:color="auto"/>
              <w:left w:val="nil"/>
              <w:bottom w:val="nil"/>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2007/08</w:t>
            </w:r>
          </w:p>
        </w:tc>
        <w:tc>
          <w:tcPr>
            <w:tcW w:w="1020" w:type="dxa"/>
            <w:tcBorders>
              <w:top w:val="single" w:sz="4" w:space="0" w:color="auto"/>
              <w:left w:val="nil"/>
              <w:bottom w:val="nil"/>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2008/09</w:t>
            </w:r>
          </w:p>
        </w:tc>
      </w:tr>
      <w:tr w:rsidR="000B4AA4" w:rsidRPr="00D90E53">
        <w:trPr>
          <w:trHeight w:val="264"/>
          <w:jc w:val="center"/>
        </w:trPr>
        <w:tc>
          <w:tcPr>
            <w:tcW w:w="3064" w:type="dxa"/>
            <w:tcBorders>
              <w:top w:val="nil"/>
              <w:left w:val="single" w:sz="4" w:space="0" w:color="auto"/>
              <w:bottom w:val="single" w:sz="4" w:space="0" w:color="auto"/>
              <w:right w:val="single" w:sz="4" w:space="0" w:color="auto"/>
            </w:tcBorders>
            <w:shd w:val="clear" w:color="auto" w:fill="auto"/>
            <w:noWrap/>
            <w:vAlign w:val="bottom"/>
          </w:tcPr>
          <w:p w:rsidR="000B4AA4" w:rsidRPr="00D90E53" w:rsidRDefault="000B4AA4">
            <w:pPr>
              <w:rPr>
                <w:rFonts w:cs="Arial"/>
                <w:sz w:val="20"/>
                <w:szCs w:val="20"/>
              </w:rPr>
            </w:pPr>
            <w:r w:rsidRPr="00D90E53">
              <w:rPr>
                <w:rFonts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0B4AA4" w:rsidRPr="00D90E53" w:rsidRDefault="000B4AA4">
            <w:pPr>
              <w:jc w:val="right"/>
              <w:rPr>
                <w:rFonts w:cs="Arial"/>
                <w:b/>
                <w:bCs/>
                <w:sz w:val="20"/>
                <w:szCs w:val="20"/>
              </w:rPr>
            </w:pPr>
            <w:r w:rsidRPr="00D90E53">
              <w:rPr>
                <w:rFonts w:cs="Arial"/>
                <w:b/>
                <w:bCs/>
                <w:sz w:val="20"/>
                <w:szCs w:val="20"/>
              </w:rPr>
              <w:t>£m</w:t>
            </w:r>
          </w:p>
        </w:tc>
      </w:tr>
      <w:tr w:rsidR="000B4AA4" w:rsidRPr="00D90E53">
        <w:trPr>
          <w:trHeight w:val="264"/>
          <w:jc w:val="center"/>
        </w:trPr>
        <w:tc>
          <w:tcPr>
            <w:tcW w:w="3064" w:type="dxa"/>
            <w:tcBorders>
              <w:top w:val="nil"/>
              <w:left w:val="single" w:sz="4" w:space="0" w:color="auto"/>
              <w:bottom w:val="single" w:sz="4" w:space="0" w:color="auto"/>
              <w:right w:val="single" w:sz="4" w:space="0" w:color="auto"/>
            </w:tcBorders>
            <w:shd w:val="clear" w:color="auto" w:fill="auto"/>
            <w:noWrap/>
            <w:vAlign w:val="bottom"/>
          </w:tcPr>
          <w:p w:rsidR="000B4AA4" w:rsidRPr="00D90E53" w:rsidRDefault="000B4AA4">
            <w:pPr>
              <w:rPr>
                <w:rFonts w:cs="Arial"/>
                <w:b/>
                <w:bCs/>
                <w:sz w:val="20"/>
                <w:szCs w:val="20"/>
              </w:rPr>
            </w:pPr>
            <w:r w:rsidRPr="00D90E53">
              <w:rPr>
                <w:rFonts w:cs="Arial"/>
                <w:b/>
                <w:bCs/>
                <w:sz w:val="20"/>
                <w:szCs w:val="20"/>
              </w:rPr>
              <w:t>Salaries including on-costs</w:t>
            </w:r>
          </w:p>
        </w:tc>
        <w:tc>
          <w:tcPr>
            <w:tcW w:w="1020" w:type="dxa"/>
            <w:tcBorders>
              <w:top w:val="nil"/>
              <w:left w:val="nil"/>
              <w:bottom w:val="single" w:sz="4" w:space="0" w:color="auto"/>
              <w:right w:val="single" w:sz="4" w:space="0" w:color="auto"/>
            </w:tcBorders>
            <w:shd w:val="clear" w:color="auto" w:fill="339966"/>
            <w:noWrap/>
            <w:vAlign w:val="bottom"/>
          </w:tcPr>
          <w:p w:rsidR="000B4AA4" w:rsidRPr="00D90E53" w:rsidRDefault="000B4AA4">
            <w:pPr>
              <w:jc w:val="right"/>
              <w:rPr>
                <w:rFonts w:cs="Arial"/>
                <w:b/>
                <w:bCs/>
                <w:sz w:val="20"/>
                <w:szCs w:val="20"/>
              </w:rPr>
            </w:pPr>
            <w:r w:rsidRPr="00D90E53">
              <w:rPr>
                <w:rFonts w:cs="Arial"/>
                <w:b/>
                <w:bCs/>
                <w:sz w:val="20"/>
                <w:szCs w:val="20"/>
              </w:rPr>
              <w:t>1.794</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0B4AA4" w:rsidRPr="00D90E53" w:rsidRDefault="000B4AA4">
            <w:pPr>
              <w:jc w:val="right"/>
              <w:rPr>
                <w:rFonts w:cs="Arial"/>
                <w:b/>
                <w:bCs/>
                <w:sz w:val="20"/>
                <w:szCs w:val="20"/>
              </w:rPr>
            </w:pPr>
            <w:r w:rsidRPr="00D90E53">
              <w:rPr>
                <w:rFonts w:cs="Arial"/>
                <w:b/>
                <w:bCs/>
                <w:sz w:val="20"/>
                <w:szCs w:val="20"/>
              </w:rPr>
              <w:t>2.153</w:t>
            </w:r>
          </w:p>
        </w:tc>
        <w:tc>
          <w:tcPr>
            <w:tcW w:w="1020" w:type="dxa"/>
            <w:tcBorders>
              <w:top w:val="single" w:sz="4" w:space="0" w:color="auto"/>
              <w:left w:val="single" w:sz="4" w:space="0" w:color="auto"/>
              <w:bottom w:val="single" w:sz="4" w:space="0" w:color="auto"/>
              <w:right w:val="nil"/>
            </w:tcBorders>
            <w:shd w:val="clear" w:color="auto" w:fill="339966"/>
            <w:noWrap/>
            <w:vAlign w:val="bottom"/>
          </w:tcPr>
          <w:p w:rsidR="000B4AA4" w:rsidRPr="00D90E53" w:rsidRDefault="000B4AA4">
            <w:pPr>
              <w:jc w:val="right"/>
              <w:rPr>
                <w:rFonts w:cs="Arial"/>
                <w:b/>
                <w:bCs/>
                <w:sz w:val="20"/>
                <w:szCs w:val="20"/>
              </w:rPr>
            </w:pPr>
            <w:r w:rsidRPr="00D90E53">
              <w:rPr>
                <w:rFonts w:cs="Arial"/>
                <w:b/>
                <w:bCs/>
                <w:sz w:val="20"/>
                <w:szCs w:val="20"/>
              </w:rPr>
              <w:t>2.254</w:t>
            </w:r>
          </w:p>
        </w:tc>
      </w:tr>
    </w:tbl>
    <w:p w:rsidR="00374D44" w:rsidRPr="00D90E53" w:rsidRDefault="00374D44" w:rsidP="00B41129">
      <w:pPr>
        <w:jc w:val="both"/>
      </w:pPr>
    </w:p>
    <w:p w:rsidR="00483AE8" w:rsidRPr="00D90E53" w:rsidRDefault="00483AE8" w:rsidP="00B41129">
      <w:pPr>
        <w:jc w:val="both"/>
      </w:pPr>
      <w:r w:rsidRPr="00D90E53">
        <w:t xml:space="preserve">Along with </w:t>
      </w:r>
      <w:r w:rsidR="00DC186D" w:rsidRPr="00D90E53">
        <w:t xml:space="preserve">associated </w:t>
      </w:r>
      <w:r w:rsidRPr="00D90E53">
        <w:t>reductions</w:t>
      </w:r>
      <w:r w:rsidR="00DC186D" w:rsidRPr="00D90E53">
        <w:t xml:space="preserve"> in agency costs of £88,000 in 2007/08 and £87,000 in 2008/09</w:t>
      </w:r>
      <w:r w:rsidRPr="00D90E53">
        <w:t xml:space="preserve"> to reflect the recruitment of full-time staff in support services (£85.9K and £82.8k in 2006/07 prices)</w:t>
      </w:r>
      <w:r w:rsidR="00DC186D" w:rsidRPr="00D90E53">
        <w:t>.</w:t>
      </w:r>
      <w:r w:rsidRPr="00D90E53">
        <w:t xml:space="preserve">  </w:t>
      </w:r>
    </w:p>
    <w:p w:rsidR="00A20251" w:rsidRPr="00D90E53" w:rsidRDefault="00A20251" w:rsidP="00B41129">
      <w:pPr>
        <w:jc w:val="both"/>
      </w:pPr>
    </w:p>
    <w:p w:rsidR="00DC186D" w:rsidRPr="00D90E53" w:rsidRDefault="00DC186D" w:rsidP="00B41129">
      <w:pPr>
        <w:jc w:val="both"/>
      </w:pPr>
    </w:p>
    <w:p w:rsidR="00DC186D" w:rsidRPr="00D90E53" w:rsidRDefault="00DC186D" w:rsidP="00B41129">
      <w:pPr>
        <w:jc w:val="both"/>
      </w:pPr>
    </w:p>
    <w:p w:rsidR="00163A58" w:rsidRPr="000A7094" w:rsidRDefault="00163A58" w:rsidP="00C30932">
      <w:pPr>
        <w:jc w:val="both"/>
        <w:outlineLvl w:val="0"/>
        <w:rPr>
          <w:b/>
          <w:sz w:val="32"/>
          <w:szCs w:val="32"/>
        </w:rPr>
      </w:pPr>
      <w:bookmarkStart w:id="26" w:name="_Toc184009288"/>
      <w:r w:rsidRPr="000A7094">
        <w:rPr>
          <w:b/>
          <w:sz w:val="32"/>
          <w:szCs w:val="32"/>
        </w:rPr>
        <w:t>Bad Debt</w:t>
      </w:r>
      <w:bookmarkEnd w:id="26"/>
      <w:r w:rsidR="0025264C" w:rsidRPr="000A7094">
        <w:rPr>
          <w:b/>
          <w:sz w:val="32"/>
          <w:szCs w:val="32"/>
        </w:rPr>
        <w:fldChar w:fldCharType="begin"/>
      </w:r>
      <w:r w:rsidR="0025264C" w:rsidRPr="000A7094">
        <w:rPr>
          <w:sz w:val="32"/>
          <w:szCs w:val="32"/>
        </w:rPr>
        <w:instrText xml:space="preserve"> TC "</w:instrText>
      </w:r>
      <w:bookmarkStart w:id="27" w:name="_Toc181605569"/>
      <w:r w:rsidR="0025264C" w:rsidRPr="000A7094">
        <w:rPr>
          <w:b/>
          <w:sz w:val="32"/>
          <w:szCs w:val="32"/>
        </w:rPr>
        <w:instrText>Bad Debt</w:instrText>
      </w:r>
      <w:bookmarkEnd w:id="27"/>
      <w:r w:rsidR="0025264C" w:rsidRPr="000A7094">
        <w:rPr>
          <w:sz w:val="32"/>
          <w:szCs w:val="32"/>
        </w:rPr>
        <w:instrText xml:space="preserve">" \f C \l "3" </w:instrText>
      </w:r>
      <w:r w:rsidR="0025264C" w:rsidRPr="000A7094">
        <w:rPr>
          <w:b/>
          <w:sz w:val="32"/>
          <w:szCs w:val="32"/>
        </w:rPr>
        <w:fldChar w:fldCharType="end"/>
      </w:r>
    </w:p>
    <w:p w:rsidR="00D80C6E" w:rsidRPr="00D90E53" w:rsidRDefault="00D80C6E" w:rsidP="00B41129">
      <w:pPr>
        <w:jc w:val="both"/>
      </w:pPr>
    </w:p>
    <w:p w:rsidR="006E3BA4" w:rsidRPr="00D90E53" w:rsidRDefault="006E3BA4" w:rsidP="00B41129">
      <w:pPr>
        <w:jc w:val="both"/>
      </w:pPr>
      <w:r w:rsidRPr="00D90E53">
        <w:t xml:space="preserve">NIE Supply states </w:t>
      </w:r>
      <w:r w:rsidR="001D741B" w:rsidRPr="00D90E53">
        <w:t xml:space="preserve">that </w:t>
      </w:r>
      <w:r w:rsidRPr="00D90E53">
        <w:t xml:space="preserve">the Utility Regulator’s decision not to prevent domestic customer switching on the grounds of debt will increase Supply’s exposure to bad debt and </w:t>
      </w:r>
      <w:r w:rsidR="001D741B" w:rsidRPr="00D90E53">
        <w:t xml:space="preserve">therefore it will incur </w:t>
      </w:r>
      <w:r w:rsidRPr="00D90E53">
        <w:t>additional debt management costs.</w:t>
      </w:r>
      <w:r w:rsidR="00725FF1" w:rsidRPr="00D90E53">
        <w:t xml:space="preserve">  </w:t>
      </w:r>
      <w:r w:rsidRPr="00D90E53">
        <w:t>Whilst we recognise</w:t>
      </w:r>
      <w:r w:rsidR="00725FF1" w:rsidRPr="00D90E53">
        <w:t>d</w:t>
      </w:r>
      <w:r w:rsidRPr="00D90E53">
        <w:t xml:space="preserve"> exposure to bad debt may be expected to increase in a fully open</w:t>
      </w:r>
      <w:r w:rsidR="00D27B19" w:rsidRPr="00D90E53">
        <w:t xml:space="preserve"> retail </w:t>
      </w:r>
      <w:r w:rsidRPr="00D90E53">
        <w:t>market, we remain</w:t>
      </w:r>
      <w:r w:rsidR="00725FF1" w:rsidRPr="00D90E53">
        <w:t>ed</w:t>
      </w:r>
      <w:r w:rsidRPr="00D90E53">
        <w:t xml:space="preserve"> </w:t>
      </w:r>
      <w:r w:rsidR="00725FF1" w:rsidRPr="00D90E53">
        <w:t>un</w:t>
      </w:r>
      <w:r w:rsidRPr="00D90E53">
        <w:t xml:space="preserve">convinced </w:t>
      </w:r>
      <w:r w:rsidR="00725FF1" w:rsidRPr="00D90E53">
        <w:t>of the</w:t>
      </w:r>
      <w:r w:rsidRPr="00D90E53">
        <w:t xml:space="preserve"> requirement for increasing bad debt provision</w:t>
      </w:r>
      <w:r w:rsidR="00725FF1" w:rsidRPr="00D90E53">
        <w:t>.  An analysis of customer numbers revealed a large proportion using prepayment or regular payment methods to pay for electricity and NIE Supply’s forecast suggested an expectation that most of those customers switching over the period of the price control were likely to be small business users who may be blocked from switching on the basis of debt.</w:t>
      </w:r>
    </w:p>
    <w:p w:rsidR="006E3BA4" w:rsidRPr="00D90E53" w:rsidRDefault="006E3BA4" w:rsidP="00B41129">
      <w:pPr>
        <w:jc w:val="both"/>
      </w:pPr>
    </w:p>
    <w:p w:rsidR="006833FA" w:rsidRPr="000A7094" w:rsidRDefault="00725FF1" w:rsidP="00C30932">
      <w:pPr>
        <w:jc w:val="both"/>
        <w:outlineLvl w:val="0"/>
        <w:rPr>
          <w:b/>
          <w:sz w:val="32"/>
          <w:szCs w:val="32"/>
        </w:rPr>
      </w:pPr>
      <w:bookmarkStart w:id="28" w:name="_Toc184009289"/>
      <w:r w:rsidRPr="000A7094">
        <w:rPr>
          <w:b/>
          <w:sz w:val="32"/>
          <w:szCs w:val="32"/>
        </w:rPr>
        <w:t>Utility Regulator Decision</w:t>
      </w:r>
      <w:bookmarkEnd w:id="28"/>
    </w:p>
    <w:p w:rsidR="006E3BA4" w:rsidRPr="00D90E53" w:rsidRDefault="006E3BA4" w:rsidP="00B41129">
      <w:pPr>
        <w:jc w:val="both"/>
      </w:pPr>
    </w:p>
    <w:p w:rsidR="006833FA" w:rsidRPr="00D90E53" w:rsidRDefault="00D27B19" w:rsidP="00725FF1">
      <w:r w:rsidRPr="00D90E53">
        <w:t xml:space="preserve">The Utility Regulator has accepted </w:t>
      </w:r>
      <w:r w:rsidR="000B32C0">
        <w:t>the</w:t>
      </w:r>
      <w:r w:rsidRPr="00D90E53">
        <w:t xml:space="preserve"> policy of keeping bad debt provision at 0.4% of turnover; NIE Supply’s original figures have been revised to reflect the 3.9% increase in tariffs from </w:t>
      </w:r>
      <w:smartTag w:uri="urn:schemas-microsoft-com:office:smarttags" w:element="date">
        <w:smartTagPr>
          <w:attr w:name="Month" w:val="11"/>
          <w:attr w:name="Day" w:val="1"/>
          <w:attr w:name="Year" w:val="2007"/>
        </w:smartTagPr>
        <w:r w:rsidRPr="00D90E53">
          <w:t>1</w:t>
        </w:r>
        <w:r w:rsidRPr="00D90E53">
          <w:rPr>
            <w:vertAlign w:val="superscript"/>
          </w:rPr>
          <w:t>st</w:t>
        </w:r>
        <w:r w:rsidRPr="00D90E53">
          <w:t xml:space="preserve"> November 2007</w:t>
        </w:r>
      </w:smartTag>
      <w:r w:rsidRPr="00D90E53">
        <w:t xml:space="preserve"> giving bad debt provision of:</w:t>
      </w:r>
    </w:p>
    <w:p w:rsidR="006833FA" w:rsidRPr="00D90E53" w:rsidRDefault="006833FA" w:rsidP="00B41129">
      <w:pPr>
        <w:jc w:val="both"/>
      </w:pPr>
    </w:p>
    <w:tbl>
      <w:tblPr>
        <w:tblW w:w="6222" w:type="dxa"/>
        <w:jc w:val="center"/>
        <w:tblInd w:w="96" w:type="dxa"/>
        <w:tblLook w:val="0000"/>
      </w:tblPr>
      <w:tblGrid>
        <w:gridCol w:w="3162"/>
        <w:gridCol w:w="1020"/>
        <w:gridCol w:w="1020"/>
        <w:gridCol w:w="1020"/>
      </w:tblGrid>
      <w:tr w:rsidR="007F0B16" w:rsidRPr="00D90E53">
        <w:trPr>
          <w:trHeight w:val="264"/>
          <w:jc w:val="center"/>
        </w:trPr>
        <w:tc>
          <w:tcPr>
            <w:tcW w:w="3162" w:type="dxa"/>
            <w:tcBorders>
              <w:top w:val="single" w:sz="4" w:space="0" w:color="auto"/>
              <w:left w:val="single" w:sz="4" w:space="0" w:color="auto"/>
              <w:bottom w:val="nil"/>
              <w:right w:val="single" w:sz="4" w:space="0" w:color="auto"/>
            </w:tcBorders>
            <w:shd w:val="clear" w:color="auto" w:fill="auto"/>
            <w:noWrap/>
            <w:vAlign w:val="bottom"/>
          </w:tcPr>
          <w:p w:rsidR="007F0B16" w:rsidRPr="00D90E53" w:rsidRDefault="007F0B16">
            <w:pPr>
              <w:rPr>
                <w:rFonts w:cs="Arial"/>
                <w:b/>
                <w:bCs/>
                <w:sz w:val="20"/>
                <w:szCs w:val="20"/>
              </w:rPr>
            </w:pPr>
            <w:r w:rsidRPr="00D90E53">
              <w:rPr>
                <w:rFonts w:cs="Arial"/>
                <w:b/>
                <w:bCs/>
                <w:sz w:val="20"/>
                <w:szCs w:val="20"/>
              </w:rPr>
              <w:t>2006/07 Prices</w:t>
            </w:r>
          </w:p>
        </w:tc>
        <w:tc>
          <w:tcPr>
            <w:tcW w:w="1020" w:type="dxa"/>
            <w:tcBorders>
              <w:top w:val="single" w:sz="4" w:space="0" w:color="auto"/>
              <w:left w:val="nil"/>
              <w:bottom w:val="nil"/>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2006/07</w:t>
            </w:r>
          </w:p>
        </w:tc>
        <w:tc>
          <w:tcPr>
            <w:tcW w:w="1020" w:type="dxa"/>
            <w:tcBorders>
              <w:top w:val="single" w:sz="4" w:space="0" w:color="auto"/>
              <w:left w:val="nil"/>
              <w:bottom w:val="nil"/>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2007/08</w:t>
            </w:r>
          </w:p>
        </w:tc>
        <w:tc>
          <w:tcPr>
            <w:tcW w:w="1020" w:type="dxa"/>
            <w:tcBorders>
              <w:top w:val="single" w:sz="4" w:space="0" w:color="auto"/>
              <w:left w:val="nil"/>
              <w:bottom w:val="nil"/>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2008/09</w:t>
            </w:r>
          </w:p>
        </w:tc>
      </w:tr>
      <w:tr w:rsidR="007F0B16" w:rsidRPr="00D90E53">
        <w:trPr>
          <w:trHeight w:val="264"/>
          <w:jc w:val="center"/>
        </w:trPr>
        <w:tc>
          <w:tcPr>
            <w:tcW w:w="3162" w:type="dxa"/>
            <w:tcBorders>
              <w:top w:val="nil"/>
              <w:left w:val="single" w:sz="4" w:space="0" w:color="auto"/>
              <w:bottom w:val="single" w:sz="4" w:space="0" w:color="auto"/>
              <w:right w:val="single" w:sz="4" w:space="0" w:color="auto"/>
            </w:tcBorders>
            <w:shd w:val="clear" w:color="auto" w:fill="auto"/>
            <w:noWrap/>
            <w:vAlign w:val="bottom"/>
          </w:tcPr>
          <w:p w:rsidR="007F0B16" w:rsidRPr="00D90E53" w:rsidRDefault="007F0B16">
            <w:pPr>
              <w:rPr>
                <w:rFonts w:cs="Arial"/>
                <w:sz w:val="20"/>
                <w:szCs w:val="20"/>
              </w:rPr>
            </w:pPr>
            <w:r w:rsidRPr="00D90E53">
              <w:rPr>
                <w:rFonts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7F0B16" w:rsidRPr="00D90E53" w:rsidRDefault="007F0B16">
            <w:pPr>
              <w:jc w:val="right"/>
              <w:rPr>
                <w:rFonts w:cs="Arial"/>
                <w:b/>
                <w:bCs/>
                <w:sz w:val="20"/>
                <w:szCs w:val="20"/>
              </w:rPr>
            </w:pPr>
            <w:r w:rsidRPr="00D90E53">
              <w:rPr>
                <w:rFonts w:cs="Arial"/>
                <w:b/>
                <w:bCs/>
                <w:sz w:val="20"/>
                <w:szCs w:val="20"/>
              </w:rPr>
              <w:t>£m</w:t>
            </w:r>
          </w:p>
        </w:tc>
      </w:tr>
      <w:tr w:rsidR="007F0B16" w:rsidRPr="00D90E53">
        <w:trPr>
          <w:trHeight w:val="264"/>
          <w:jc w:val="center"/>
        </w:trPr>
        <w:tc>
          <w:tcPr>
            <w:tcW w:w="3162" w:type="dxa"/>
            <w:tcBorders>
              <w:top w:val="nil"/>
              <w:left w:val="single" w:sz="4" w:space="0" w:color="auto"/>
              <w:bottom w:val="single" w:sz="4" w:space="0" w:color="auto"/>
              <w:right w:val="single" w:sz="4" w:space="0" w:color="auto"/>
            </w:tcBorders>
            <w:shd w:val="clear" w:color="auto" w:fill="339966"/>
            <w:noWrap/>
            <w:vAlign w:val="bottom"/>
          </w:tcPr>
          <w:p w:rsidR="007F0B16" w:rsidRPr="00D90E53" w:rsidRDefault="007F0B16">
            <w:pPr>
              <w:rPr>
                <w:rFonts w:cs="Arial"/>
                <w:b/>
                <w:bCs/>
                <w:sz w:val="20"/>
                <w:szCs w:val="20"/>
              </w:rPr>
            </w:pPr>
            <w:r w:rsidRPr="00D90E53">
              <w:rPr>
                <w:rFonts w:cs="Arial"/>
                <w:b/>
                <w:bCs/>
                <w:sz w:val="20"/>
                <w:szCs w:val="20"/>
              </w:rPr>
              <w:t>Bad Debt 0.4% of Turnover</w:t>
            </w:r>
          </w:p>
        </w:tc>
        <w:tc>
          <w:tcPr>
            <w:tcW w:w="1020" w:type="dxa"/>
            <w:tcBorders>
              <w:top w:val="nil"/>
              <w:left w:val="nil"/>
              <w:bottom w:val="single" w:sz="4" w:space="0" w:color="auto"/>
              <w:right w:val="single" w:sz="4" w:space="0" w:color="auto"/>
            </w:tcBorders>
            <w:shd w:val="clear" w:color="auto" w:fill="339966"/>
            <w:noWrap/>
            <w:vAlign w:val="bottom"/>
          </w:tcPr>
          <w:p w:rsidR="007F0B16" w:rsidRPr="00D90E53" w:rsidRDefault="007F0B16">
            <w:pPr>
              <w:jc w:val="right"/>
              <w:rPr>
                <w:rFonts w:cs="Arial"/>
                <w:b/>
                <w:bCs/>
                <w:color w:val="000000"/>
                <w:sz w:val="20"/>
                <w:szCs w:val="20"/>
              </w:rPr>
            </w:pPr>
            <w:r w:rsidRPr="00D90E53">
              <w:rPr>
                <w:rFonts w:cs="Arial"/>
                <w:b/>
                <w:bCs/>
                <w:color w:val="000000"/>
                <w:sz w:val="20"/>
                <w:szCs w:val="20"/>
              </w:rPr>
              <w:t>1.855</w:t>
            </w:r>
          </w:p>
        </w:tc>
        <w:tc>
          <w:tcPr>
            <w:tcW w:w="1020" w:type="dxa"/>
            <w:tcBorders>
              <w:top w:val="nil"/>
              <w:left w:val="nil"/>
              <w:bottom w:val="single" w:sz="4" w:space="0" w:color="auto"/>
              <w:right w:val="single" w:sz="4" w:space="0" w:color="auto"/>
            </w:tcBorders>
            <w:shd w:val="clear" w:color="auto" w:fill="339966"/>
            <w:noWrap/>
            <w:vAlign w:val="bottom"/>
          </w:tcPr>
          <w:p w:rsidR="007F0B16" w:rsidRPr="00D90E53" w:rsidRDefault="007F0B16">
            <w:pPr>
              <w:jc w:val="right"/>
              <w:rPr>
                <w:rFonts w:cs="Arial"/>
                <w:b/>
                <w:bCs/>
                <w:color w:val="000000"/>
                <w:sz w:val="20"/>
                <w:szCs w:val="20"/>
              </w:rPr>
            </w:pPr>
            <w:r w:rsidRPr="00D90E53">
              <w:rPr>
                <w:rFonts w:cs="Arial"/>
                <w:b/>
                <w:bCs/>
                <w:color w:val="000000"/>
                <w:sz w:val="20"/>
                <w:szCs w:val="20"/>
              </w:rPr>
              <w:t>1.932</w:t>
            </w:r>
          </w:p>
        </w:tc>
        <w:tc>
          <w:tcPr>
            <w:tcW w:w="1020" w:type="dxa"/>
            <w:tcBorders>
              <w:top w:val="nil"/>
              <w:left w:val="nil"/>
              <w:bottom w:val="single" w:sz="4" w:space="0" w:color="auto"/>
              <w:right w:val="single" w:sz="4" w:space="0" w:color="auto"/>
            </w:tcBorders>
            <w:shd w:val="clear" w:color="auto" w:fill="339966"/>
            <w:noWrap/>
            <w:vAlign w:val="bottom"/>
          </w:tcPr>
          <w:p w:rsidR="007F0B16" w:rsidRPr="00D90E53" w:rsidRDefault="007F0B16">
            <w:pPr>
              <w:jc w:val="right"/>
              <w:rPr>
                <w:rFonts w:cs="Arial"/>
                <w:b/>
                <w:bCs/>
                <w:color w:val="000000"/>
                <w:sz w:val="20"/>
                <w:szCs w:val="20"/>
              </w:rPr>
            </w:pPr>
            <w:r w:rsidRPr="00D90E53">
              <w:rPr>
                <w:rFonts w:cs="Arial"/>
                <w:b/>
                <w:bCs/>
                <w:color w:val="000000"/>
                <w:sz w:val="20"/>
                <w:szCs w:val="20"/>
              </w:rPr>
              <w:t>1.941</w:t>
            </w:r>
          </w:p>
        </w:tc>
      </w:tr>
    </w:tbl>
    <w:p w:rsidR="00483AE8" w:rsidRPr="00D90E53" w:rsidRDefault="00483AE8" w:rsidP="00B41129">
      <w:pPr>
        <w:jc w:val="both"/>
      </w:pPr>
    </w:p>
    <w:p w:rsidR="002E5D9F" w:rsidRPr="00D90E53" w:rsidRDefault="002E5D9F" w:rsidP="00B41129">
      <w:pPr>
        <w:jc w:val="both"/>
      </w:pPr>
    </w:p>
    <w:p w:rsidR="002E5D9F" w:rsidRPr="00D90E53" w:rsidRDefault="002E5D9F" w:rsidP="00B41129">
      <w:pPr>
        <w:jc w:val="both"/>
      </w:pPr>
    </w:p>
    <w:p w:rsidR="002E5D9F" w:rsidRPr="000A7094" w:rsidRDefault="002E5D9F" w:rsidP="00C30932">
      <w:pPr>
        <w:jc w:val="both"/>
        <w:outlineLvl w:val="0"/>
        <w:rPr>
          <w:b/>
          <w:sz w:val="32"/>
          <w:szCs w:val="32"/>
        </w:rPr>
      </w:pPr>
      <w:bookmarkStart w:id="29" w:name="_Toc184009290"/>
      <w:r w:rsidRPr="000A7094">
        <w:rPr>
          <w:b/>
          <w:sz w:val="32"/>
          <w:szCs w:val="32"/>
        </w:rPr>
        <w:t>Licence Fees</w:t>
      </w:r>
      <w:bookmarkEnd w:id="29"/>
      <w:r w:rsidR="0025264C" w:rsidRPr="000A7094">
        <w:rPr>
          <w:b/>
          <w:sz w:val="32"/>
          <w:szCs w:val="32"/>
        </w:rPr>
        <w:fldChar w:fldCharType="begin"/>
      </w:r>
      <w:r w:rsidR="0025264C" w:rsidRPr="000A7094">
        <w:rPr>
          <w:b/>
          <w:sz w:val="32"/>
          <w:szCs w:val="32"/>
        </w:rPr>
        <w:instrText xml:space="preserve"> TC "</w:instrText>
      </w:r>
      <w:bookmarkStart w:id="30" w:name="_Toc181605570"/>
      <w:r w:rsidR="0025264C" w:rsidRPr="000A7094">
        <w:rPr>
          <w:b/>
          <w:sz w:val="32"/>
          <w:szCs w:val="32"/>
        </w:rPr>
        <w:instrText>Licence Fees</w:instrText>
      </w:r>
      <w:bookmarkEnd w:id="30"/>
      <w:r w:rsidR="0025264C" w:rsidRPr="000A7094">
        <w:rPr>
          <w:b/>
          <w:sz w:val="32"/>
          <w:szCs w:val="32"/>
        </w:rPr>
        <w:instrText xml:space="preserve">" \f C \l "2" </w:instrText>
      </w:r>
      <w:r w:rsidR="0025264C" w:rsidRPr="000A7094">
        <w:rPr>
          <w:b/>
          <w:sz w:val="32"/>
          <w:szCs w:val="32"/>
        </w:rPr>
        <w:fldChar w:fldCharType="end"/>
      </w:r>
    </w:p>
    <w:p w:rsidR="002E5D9F" w:rsidRPr="00D90E53" w:rsidRDefault="002E5D9F" w:rsidP="00B41129">
      <w:pPr>
        <w:jc w:val="both"/>
      </w:pPr>
    </w:p>
    <w:p w:rsidR="00163A58" w:rsidRPr="00D90E53" w:rsidRDefault="002E5D9F" w:rsidP="00B41129">
      <w:pPr>
        <w:jc w:val="both"/>
      </w:pPr>
      <w:r w:rsidRPr="00D90E53">
        <w:t xml:space="preserve">The Utility Regulator has accepted Supply’s suggestion that licence fees, </w:t>
      </w:r>
      <w:r w:rsidR="00C129AA">
        <w:t>since</w:t>
      </w:r>
      <w:r w:rsidRPr="00D90E53">
        <w:t xml:space="preserve"> they are non-controllable costs for the business, should be treated as 100% pass-through to customers and, as such, will be removed from the S</w:t>
      </w:r>
      <w:r w:rsidRPr="00D90E53">
        <w:rPr>
          <w:vertAlign w:val="subscript"/>
        </w:rPr>
        <w:t>t</w:t>
      </w:r>
      <w:r w:rsidRPr="00D90E53">
        <w:t xml:space="preserve"> term</w:t>
      </w:r>
      <w:r w:rsidR="00D27B19" w:rsidRPr="00D90E53">
        <w:t>,</w:t>
      </w:r>
      <w:r w:rsidRPr="00D90E53">
        <w:t xml:space="preserve"> which this paper </w:t>
      </w:r>
      <w:r w:rsidR="006A4116" w:rsidRPr="00D90E53">
        <w:t>deals with</w:t>
      </w:r>
      <w:r w:rsidR="00D27B19" w:rsidRPr="00D90E53">
        <w:t>,</w:t>
      </w:r>
      <w:r w:rsidR="006A4116" w:rsidRPr="00D90E53">
        <w:t xml:space="preserve"> to the E</w:t>
      </w:r>
      <w:r w:rsidR="006A4116" w:rsidRPr="00D90E53">
        <w:rPr>
          <w:vertAlign w:val="subscript"/>
        </w:rPr>
        <w:t>t</w:t>
      </w:r>
      <w:r w:rsidR="000B32C0">
        <w:t xml:space="preserve"> term.</w:t>
      </w:r>
    </w:p>
    <w:p w:rsidR="006A4116" w:rsidRPr="00D90E53" w:rsidRDefault="006A4116" w:rsidP="00B41129">
      <w:pPr>
        <w:jc w:val="both"/>
      </w:pPr>
    </w:p>
    <w:p w:rsidR="00B13C22" w:rsidRPr="00D90E53" w:rsidRDefault="00B13C22" w:rsidP="00B41129">
      <w:pPr>
        <w:jc w:val="both"/>
      </w:pPr>
    </w:p>
    <w:p w:rsidR="0028000B" w:rsidRPr="000A7094" w:rsidRDefault="0028000B" w:rsidP="00C30932">
      <w:pPr>
        <w:jc w:val="both"/>
        <w:outlineLvl w:val="0"/>
        <w:rPr>
          <w:b/>
          <w:sz w:val="32"/>
          <w:szCs w:val="32"/>
        </w:rPr>
      </w:pPr>
      <w:bookmarkStart w:id="31" w:name="_Toc184009291"/>
      <w:r w:rsidRPr="000A7094">
        <w:rPr>
          <w:b/>
          <w:sz w:val="32"/>
          <w:szCs w:val="32"/>
        </w:rPr>
        <w:t>NI2007</w:t>
      </w:r>
      <w:bookmarkEnd w:id="31"/>
      <w:r w:rsidR="0025264C" w:rsidRPr="000A7094">
        <w:rPr>
          <w:b/>
          <w:sz w:val="32"/>
          <w:szCs w:val="32"/>
        </w:rPr>
        <w:fldChar w:fldCharType="begin"/>
      </w:r>
      <w:r w:rsidR="0025264C" w:rsidRPr="000A7094">
        <w:rPr>
          <w:b/>
          <w:sz w:val="32"/>
          <w:szCs w:val="32"/>
        </w:rPr>
        <w:instrText xml:space="preserve"> TC "</w:instrText>
      </w:r>
      <w:bookmarkStart w:id="32" w:name="_Toc181605571"/>
      <w:r w:rsidR="0025264C" w:rsidRPr="000A7094">
        <w:rPr>
          <w:b/>
          <w:sz w:val="32"/>
          <w:szCs w:val="32"/>
        </w:rPr>
        <w:instrText>NI2007</w:instrText>
      </w:r>
      <w:bookmarkEnd w:id="32"/>
      <w:r w:rsidR="0025264C" w:rsidRPr="000A7094">
        <w:rPr>
          <w:b/>
          <w:sz w:val="32"/>
          <w:szCs w:val="32"/>
        </w:rPr>
        <w:instrText xml:space="preserve">" \f C \l "2" </w:instrText>
      </w:r>
      <w:r w:rsidR="0025264C" w:rsidRPr="000A7094">
        <w:rPr>
          <w:b/>
          <w:sz w:val="32"/>
          <w:szCs w:val="32"/>
        </w:rPr>
        <w:fldChar w:fldCharType="end"/>
      </w:r>
    </w:p>
    <w:p w:rsidR="0028000B" w:rsidRPr="000749A6" w:rsidRDefault="0028000B" w:rsidP="0028000B">
      <w:pPr>
        <w:jc w:val="both"/>
      </w:pPr>
    </w:p>
    <w:p w:rsidR="0028000B" w:rsidRPr="00D90E53" w:rsidRDefault="0028000B" w:rsidP="0028000B">
      <w:pPr>
        <w:jc w:val="both"/>
      </w:pPr>
      <w:r w:rsidRPr="00D90E53">
        <w:t>These</w:t>
      </w:r>
      <w:r w:rsidR="00854401" w:rsidRPr="00D90E53">
        <w:t xml:space="preserve"> on-going</w:t>
      </w:r>
      <w:r w:rsidRPr="00D90E53">
        <w:t xml:space="preserve"> costs </w:t>
      </w:r>
      <w:r w:rsidR="00854401" w:rsidRPr="00D90E53">
        <w:t>relat</w:t>
      </w:r>
      <w:r w:rsidR="00C129AA">
        <w:t>ing</w:t>
      </w:r>
      <w:r w:rsidR="00854401" w:rsidRPr="00D90E53">
        <w:t xml:space="preserve"> to </w:t>
      </w:r>
      <w:r w:rsidR="00C129AA">
        <w:t xml:space="preserve">new systems associated with </w:t>
      </w:r>
      <w:r w:rsidR="00854401" w:rsidRPr="00D90E53">
        <w:t xml:space="preserve">the development of the all-island market and retail competition </w:t>
      </w:r>
      <w:r w:rsidRPr="00D90E53">
        <w:t>were not included in NIE Supply’s original submission but will now be included in the Supply entitlement, adding £0.459</w:t>
      </w:r>
      <w:r w:rsidR="00C129AA">
        <w:t xml:space="preserve"> </w:t>
      </w:r>
      <w:r w:rsidRPr="00D90E53">
        <w:t>m</w:t>
      </w:r>
      <w:r w:rsidR="00C129AA">
        <w:t>illion</w:t>
      </w:r>
      <w:r w:rsidRPr="00D90E53">
        <w:t xml:space="preserve"> over the two year period.</w:t>
      </w:r>
      <w:r w:rsidR="00854401" w:rsidRPr="00D90E53">
        <w:t xml:space="preserve">  Establishment costs to date have been collected through the E</w:t>
      </w:r>
      <w:r w:rsidR="00854401" w:rsidRPr="00D90E53">
        <w:rPr>
          <w:vertAlign w:val="subscript"/>
        </w:rPr>
        <w:t>t</w:t>
      </w:r>
      <w:r w:rsidR="00854401" w:rsidRPr="00D90E53">
        <w:t xml:space="preserve"> term however, on-going costs are considered to be legitimate operating expenses.</w:t>
      </w:r>
      <w:r w:rsidRPr="00D90E53">
        <w:t xml:space="preserve"> </w:t>
      </w:r>
    </w:p>
    <w:p w:rsidR="0028000B" w:rsidRPr="00D90E53" w:rsidRDefault="0028000B" w:rsidP="00B41129">
      <w:pPr>
        <w:jc w:val="both"/>
      </w:pPr>
    </w:p>
    <w:p w:rsidR="0028000B" w:rsidRPr="00D90E53" w:rsidRDefault="0028000B" w:rsidP="00B41129">
      <w:pPr>
        <w:jc w:val="both"/>
      </w:pPr>
    </w:p>
    <w:p w:rsidR="00B13C22" w:rsidRPr="000A7094" w:rsidRDefault="00B13C22" w:rsidP="00C30932">
      <w:pPr>
        <w:jc w:val="both"/>
        <w:outlineLvl w:val="0"/>
        <w:rPr>
          <w:b/>
          <w:sz w:val="32"/>
          <w:szCs w:val="32"/>
        </w:rPr>
      </w:pPr>
      <w:bookmarkStart w:id="33" w:name="_Toc184009292"/>
      <w:r w:rsidRPr="000A7094">
        <w:rPr>
          <w:b/>
          <w:sz w:val="32"/>
          <w:szCs w:val="32"/>
        </w:rPr>
        <w:t>Pensions</w:t>
      </w:r>
      <w:bookmarkEnd w:id="33"/>
      <w:r w:rsidR="0025264C" w:rsidRPr="000A7094">
        <w:rPr>
          <w:b/>
          <w:sz w:val="32"/>
          <w:szCs w:val="32"/>
        </w:rPr>
        <w:fldChar w:fldCharType="begin"/>
      </w:r>
      <w:r w:rsidR="0025264C" w:rsidRPr="000A7094">
        <w:rPr>
          <w:b/>
          <w:sz w:val="32"/>
          <w:szCs w:val="32"/>
        </w:rPr>
        <w:instrText xml:space="preserve"> TC "</w:instrText>
      </w:r>
      <w:bookmarkStart w:id="34" w:name="_Toc181605572"/>
      <w:r w:rsidR="0025264C" w:rsidRPr="000A7094">
        <w:rPr>
          <w:b/>
          <w:sz w:val="32"/>
          <w:szCs w:val="32"/>
        </w:rPr>
        <w:instrText>Pensions</w:instrText>
      </w:r>
      <w:bookmarkEnd w:id="34"/>
      <w:r w:rsidR="0025264C" w:rsidRPr="000A7094">
        <w:rPr>
          <w:b/>
          <w:sz w:val="32"/>
          <w:szCs w:val="32"/>
        </w:rPr>
        <w:instrText xml:space="preserve">" \f C \l "2" </w:instrText>
      </w:r>
      <w:r w:rsidR="0025264C" w:rsidRPr="000A7094">
        <w:rPr>
          <w:b/>
          <w:sz w:val="32"/>
          <w:szCs w:val="32"/>
        </w:rPr>
        <w:fldChar w:fldCharType="end"/>
      </w:r>
    </w:p>
    <w:p w:rsidR="00D80C6E" w:rsidRPr="00D90E53" w:rsidRDefault="00D80C6E" w:rsidP="00B41129">
      <w:pPr>
        <w:jc w:val="both"/>
      </w:pPr>
    </w:p>
    <w:p w:rsidR="005A1E32" w:rsidRDefault="001D741B" w:rsidP="00B41129">
      <w:pPr>
        <w:jc w:val="both"/>
      </w:pPr>
      <w:r w:rsidRPr="00D90E53">
        <w:t xml:space="preserve">The Utility Regulator </w:t>
      </w:r>
      <w:r w:rsidR="002E5D9F" w:rsidRPr="00D90E53">
        <w:t>has decided</w:t>
      </w:r>
      <w:r w:rsidRPr="00D90E53">
        <w:t xml:space="preserve"> </w:t>
      </w:r>
      <w:r w:rsidR="000B32C0">
        <w:t xml:space="preserve">to </w:t>
      </w:r>
      <w:r w:rsidRPr="00D90E53">
        <w:t xml:space="preserve">address the pensions </w:t>
      </w:r>
      <w:r w:rsidR="002E5D9F" w:rsidRPr="00D90E53">
        <w:t xml:space="preserve">deficit </w:t>
      </w:r>
      <w:r w:rsidRPr="00D90E53">
        <w:t xml:space="preserve">issue </w:t>
      </w:r>
      <w:r w:rsidR="002E5D9F" w:rsidRPr="00D90E53">
        <w:t xml:space="preserve">for the supply business </w:t>
      </w:r>
      <w:r w:rsidR="005A1E32">
        <w:t xml:space="preserve">by treating </w:t>
      </w:r>
      <w:r w:rsidR="00E750BC" w:rsidRPr="00D90E53">
        <w:t>future payments to deal with the current deficit as 100% pass-through to customers</w:t>
      </w:r>
      <w:r w:rsidR="002E5D9F" w:rsidRPr="00D90E53">
        <w:t xml:space="preserve"> and </w:t>
      </w:r>
      <w:r w:rsidR="005A1E32">
        <w:t xml:space="preserve">thus, the payment will </w:t>
      </w:r>
      <w:r w:rsidR="002E5D9F" w:rsidRPr="00D90E53">
        <w:t>move from the S</w:t>
      </w:r>
      <w:r w:rsidR="002E5D9F" w:rsidRPr="00D90E53">
        <w:rPr>
          <w:vertAlign w:val="subscript"/>
        </w:rPr>
        <w:t>t</w:t>
      </w:r>
      <w:r w:rsidR="000B32C0">
        <w:t xml:space="preserve"> term </w:t>
      </w:r>
      <w:r w:rsidR="002E5D9F" w:rsidRPr="00D90E53">
        <w:t>to the E</w:t>
      </w:r>
      <w:r w:rsidR="002E5D9F" w:rsidRPr="00D90E53">
        <w:rPr>
          <w:vertAlign w:val="subscript"/>
        </w:rPr>
        <w:t>t</w:t>
      </w:r>
      <w:r w:rsidR="002E5D9F" w:rsidRPr="00D90E53">
        <w:t xml:space="preserve"> term</w:t>
      </w:r>
      <w:r w:rsidR="00E750BC" w:rsidRPr="00D90E53">
        <w:t xml:space="preserve"> which </w:t>
      </w:r>
      <w:r w:rsidR="002E5D9F" w:rsidRPr="00D90E53">
        <w:t>will</w:t>
      </w:r>
      <w:r w:rsidR="00E750BC" w:rsidRPr="00D90E53">
        <w:t xml:space="preserve"> ensure customers pay only the contribution</w:t>
      </w:r>
      <w:r w:rsidR="00387192" w:rsidRPr="00D90E53">
        <w:t>s</w:t>
      </w:r>
      <w:r w:rsidR="00E750BC" w:rsidRPr="00D90E53">
        <w:t xml:space="preserve"> that </w:t>
      </w:r>
      <w:r w:rsidR="00387192" w:rsidRPr="00D90E53">
        <w:t>are</w:t>
      </w:r>
      <w:r w:rsidR="00E750BC" w:rsidRPr="00D90E53">
        <w:t xml:space="preserve"> necessary</w:t>
      </w:r>
      <w:r w:rsidR="002E5D9F" w:rsidRPr="00D90E53">
        <w:t xml:space="preserve"> to tackle the current deficit</w:t>
      </w:r>
      <w:r w:rsidR="00E750BC" w:rsidRPr="00D90E53">
        <w:t>.</w:t>
      </w:r>
    </w:p>
    <w:p w:rsidR="005A1E32" w:rsidRDefault="005A1E32" w:rsidP="00B41129">
      <w:pPr>
        <w:jc w:val="both"/>
      </w:pPr>
    </w:p>
    <w:p w:rsidR="00B13C22" w:rsidRPr="00213EC0" w:rsidRDefault="005A1E32" w:rsidP="00B41129">
      <w:pPr>
        <w:jc w:val="both"/>
      </w:pPr>
      <w:r w:rsidRPr="00213EC0">
        <w:t>As for the Transmission and Distribution business, following precedent set in the price control for the GB Distribution Network Operators (DNOs), we consider that 30% of the pension costs relating to NIE’s decision to allow early retirement should be disallowed. This is an amount of c£0.</w:t>
      </w:r>
      <w:r w:rsidR="00C11950" w:rsidRPr="00213EC0">
        <w:t>167</w:t>
      </w:r>
      <w:r w:rsidRPr="00213EC0">
        <w:t>m per annum deducted from the contribution calculation leaving approximately £1.9</w:t>
      </w:r>
      <w:r w:rsidR="00C11950" w:rsidRPr="00213EC0">
        <w:t>73</w:t>
      </w:r>
      <w:r w:rsidRPr="00213EC0">
        <w:t>m per year to be collected under the E</w:t>
      </w:r>
      <w:r w:rsidRPr="00213EC0">
        <w:rPr>
          <w:vertAlign w:val="subscript"/>
        </w:rPr>
        <w:t>t</w:t>
      </w:r>
      <w:r w:rsidRPr="00213EC0">
        <w:t xml:space="preserve"> term.</w:t>
      </w:r>
    </w:p>
    <w:p w:rsidR="0025264C" w:rsidRPr="00213EC0" w:rsidRDefault="0025264C" w:rsidP="00B41129">
      <w:pPr>
        <w:jc w:val="both"/>
      </w:pPr>
    </w:p>
    <w:p w:rsidR="0025264C" w:rsidRPr="00213EC0" w:rsidRDefault="0025264C" w:rsidP="00B41129">
      <w:pPr>
        <w:jc w:val="both"/>
      </w:pPr>
    </w:p>
    <w:p w:rsidR="001E2F77" w:rsidRPr="000A7094" w:rsidRDefault="001E2F77" w:rsidP="00C30932">
      <w:pPr>
        <w:jc w:val="both"/>
        <w:outlineLvl w:val="0"/>
        <w:rPr>
          <w:b/>
          <w:sz w:val="32"/>
          <w:szCs w:val="32"/>
        </w:rPr>
      </w:pPr>
      <w:bookmarkStart w:id="35" w:name="_Toc184009293"/>
      <w:r w:rsidRPr="000A7094">
        <w:rPr>
          <w:b/>
          <w:sz w:val="32"/>
          <w:szCs w:val="32"/>
        </w:rPr>
        <w:t>Total Operating Costs</w:t>
      </w:r>
      <w:bookmarkEnd w:id="35"/>
      <w:r w:rsidR="0025264C" w:rsidRPr="000A7094">
        <w:rPr>
          <w:b/>
          <w:sz w:val="32"/>
          <w:szCs w:val="32"/>
        </w:rPr>
        <w:fldChar w:fldCharType="begin"/>
      </w:r>
      <w:r w:rsidR="0025264C" w:rsidRPr="000A7094">
        <w:rPr>
          <w:b/>
          <w:sz w:val="32"/>
          <w:szCs w:val="32"/>
        </w:rPr>
        <w:instrText xml:space="preserve"> TC "</w:instrText>
      </w:r>
      <w:bookmarkStart w:id="36" w:name="_Toc181605573"/>
      <w:r w:rsidR="0025264C" w:rsidRPr="000A7094">
        <w:rPr>
          <w:b/>
          <w:sz w:val="32"/>
          <w:szCs w:val="32"/>
        </w:rPr>
        <w:instrText>Total Operating Costs</w:instrText>
      </w:r>
      <w:bookmarkEnd w:id="36"/>
      <w:r w:rsidR="0025264C" w:rsidRPr="000A7094">
        <w:rPr>
          <w:b/>
          <w:sz w:val="32"/>
          <w:szCs w:val="32"/>
        </w:rPr>
        <w:instrText xml:space="preserve">" \f C \l "2" </w:instrText>
      </w:r>
      <w:r w:rsidR="0025264C" w:rsidRPr="000A7094">
        <w:rPr>
          <w:b/>
          <w:sz w:val="32"/>
          <w:szCs w:val="32"/>
        </w:rPr>
        <w:fldChar w:fldCharType="end"/>
      </w:r>
    </w:p>
    <w:p w:rsidR="00D80C6E" w:rsidRPr="00D90E53" w:rsidRDefault="00D80C6E" w:rsidP="00B41129">
      <w:pPr>
        <w:jc w:val="both"/>
      </w:pPr>
    </w:p>
    <w:p w:rsidR="008C1354" w:rsidRPr="00D90E53" w:rsidRDefault="002E5D9F" w:rsidP="00B41129">
      <w:pPr>
        <w:jc w:val="both"/>
      </w:pPr>
      <w:r w:rsidRPr="00D90E53">
        <w:t>Total Operating Costs have been set at £</w:t>
      </w:r>
      <w:r w:rsidR="00752413" w:rsidRPr="00D90E53">
        <w:t>35.</w:t>
      </w:r>
      <w:r w:rsidR="00387192" w:rsidRPr="00D90E53">
        <w:t>586</w:t>
      </w:r>
      <w:r w:rsidR="00752413" w:rsidRPr="00D90E53">
        <w:t>m</w:t>
      </w:r>
      <w:r w:rsidR="00387192" w:rsidRPr="00D90E53">
        <w:t xml:space="preserve"> (2006/07 prices)</w:t>
      </w:r>
      <w:r w:rsidRPr="00D90E53">
        <w:t xml:space="preserve"> for the two year period April 2007 until March 2009.</w:t>
      </w:r>
    </w:p>
    <w:p w:rsidR="002E5D9F" w:rsidRPr="00D90E53" w:rsidRDefault="002E5D9F" w:rsidP="00B41129">
      <w:pPr>
        <w:jc w:val="both"/>
      </w:pPr>
    </w:p>
    <w:tbl>
      <w:tblPr>
        <w:tblW w:w="5844" w:type="dxa"/>
        <w:jc w:val="center"/>
        <w:tblInd w:w="96" w:type="dxa"/>
        <w:tblLook w:val="0000"/>
      </w:tblPr>
      <w:tblGrid>
        <w:gridCol w:w="2784"/>
        <w:gridCol w:w="1020"/>
        <w:gridCol w:w="1020"/>
        <w:gridCol w:w="1020"/>
      </w:tblGrid>
      <w:tr w:rsidR="00387192" w:rsidRPr="00D90E53">
        <w:trPr>
          <w:trHeight w:val="264"/>
          <w:jc w:val="center"/>
        </w:trPr>
        <w:tc>
          <w:tcPr>
            <w:tcW w:w="2784" w:type="dxa"/>
            <w:tcBorders>
              <w:top w:val="single" w:sz="4" w:space="0" w:color="auto"/>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2006/07 Prices</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2006/07</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2007/08</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2008/09</w:t>
            </w:r>
          </w:p>
        </w:tc>
      </w:tr>
      <w:tr w:rsidR="00387192" w:rsidRPr="00D90E53">
        <w:trPr>
          <w:trHeight w:val="264"/>
          <w:jc w:val="center"/>
        </w:trPr>
        <w:tc>
          <w:tcPr>
            <w:tcW w:w="2784" w:type="dxa"/>
            <w:tcBorders>
              <w:top w:val="nil"/>
              <w:left w:val="single" w:sz="4" w:space="0" w:color="auto"/>
              <w:bottom w:val="single" w:sz="4" w:space="0" w:color="auto"/>
              <w:right w:val="single" w:sz="4" w:space="0" w:color="auto"/>
            </w:tcBorders>
            <w:shd w:val="clear" w:color="auto" w:fill="auto"/>
            <w:noWrap/>
            <w:vAlign w:val="bottom"/>
          </w:tcPr>
          <w:p w:rsidR="00387192" w:rsidRPr="00D90E53" w:rsidRDefault="00387192">
            <w:pPr>
              <w:rPr>
                <w:rFonts w:cs="Arial"/>
                <w:sz w:val="20"/>
                <w:szCs w:val="20"/>
              </w:rPr>
            </w:pPr>
            <w:r w:rsidRPr="00D90E53">
              <w:rPr>
                <w:rFonts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£m</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Salaries</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1.794</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2.153</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2.254</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Bad Debt</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color w:val="000000"/>
                <w:sz w:val="20"/>
                <w:szCs w:val="20"/>
              </w:rPr>
            </w:pPr>
            <w:r w:rsidRPr="00D90E53">
              <w:rPr>
                <w:rFonts w:cs="Arial"/>
                <w:b/>
                <w:bCs/>
                <w:color w:val="000000"/>
                <w:sz w:val="20"/>
                <w:szCs w:val="20"/>
              </w:rPr>
              <w:t>1.855</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color w:val="000000"/>
                <w:sz w:val="20"/>
                <w:szCs w:val="20"/>
              </w:rPr>
            </w:pPr>
            <w:r w:rsidRPr="00D90E53">
              <w:rPr>
                <w:rFonts w:cs="Arial"/>
                <w:b/>
                <w:bCs/>
                <w:color w:val="000000"/>
                <w:sz w:val="20"/>
                <w:szCs w:val="20"/>
              </w:rPr>
              <w:t>1.932</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color w:val="000000"/>
                <w:sz w:val="20"/>
                <w:szCs w:val="20"/>
              </w:rPr>
            </w:pPr>
            <w:r w:rsidRPr="00D90E53">
              <w:rPr>
                <w:rFonts w:cs="Arial"/>
                <w:b/>
                <w:bCs/>
                <w:color w:val="000000"/>
                <w:sz w:val="20"/>
                <w:szCs w:val="20"/>
              </w:rPr>
              <w:t>1.941</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MBIS</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5.076</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4.889</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4.987</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Inter-business Charges</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3.955</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0.863</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0.854</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Northgate Charges</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7.101</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7.632</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7.641</w:t>
            </w:r>
          </w:p>
        </w:tc>
      </w:tr>
      <w:tr w:rsidR="00387192" w:rsidRPr="00D90E53">
        <w:trPr>
          <w:trHeight w:val="264"/>
          <w:jc w:val="center"/>
        </w:trPr>
        <w:tc>
          <w:tcPr>
            <w:tcW w:w="2784" w:type="dxa"/>
            <w:tcBorders>
              <w:top w:val="nil"/>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NI2007</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0.132</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0.308</w:t>
            </w:r>
          </w:p>
        </w:tc>
      </w:tr>
      <w:tr w:rsidR="00387192" w:rsidRPr="00D90E53">
        <w:trPr>
          <w:trHeight w:val="264"/>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Total Operating Costs</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387192" w:rsidRPr="00D90E53" w:rsidRDefault="00387192">
            <w:pPr>
              <w:jc w:val="right"/>
              <w:rPr>
                <w:rFonts w:cs="Arial"/>
                <w:b/>
                <w:bCs/>
                <w:sz w:val="20"/>
                <w:szCs w:val="20"/>
              </w:rPr>
            </w:pPr>
            <w:r w:rsidRPr="00D90E53">
              <w:rPr>
                <w:rFonts w:cs="Arial"/>
                <w:b/>
                <w:bCs/>
                <w:sz w:val="20"/>
                <w:szCs w:val="20"/>
              </w:rPr>
              <w:t>19.781</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387192" w:rsidRPr="00D90E53" w:rsidRDefault="00387192">
            <w:pPr>
              <w:jc w:val="right"/>
              <w:rPr>
                <w:rFonts w:cs="Arial"/>
                <w:b/>
                <w:bCs/>
                <w:sz w:val="20"/>
                <w:szCs w:val="20"/>
              </w:rPr>
            </w:pPr>
            <w:r w:rsidRPr="00D90E53">
              <w:rPr>
                <w:rFonts w:cs="Arial"/>
                <w:b/>
                <w:bCs/>
                <w:sz w:val="20"/>
                <w:szCs w:val="20"/>
              </w:rPr>
              <w:t>17.602</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387192" w:rsidRPr="00D90E53" w:rsidRDefault="00387192">
            <w:pPr>
              <w:jc w:val="right"/>
              <w:rPr>
                <w:rFonts w:cs="Arial"/>
                <w:b/>
                <w:bCs/>
                <w:sz w:val="20"/>
                <w:szCs w:val="20"/>
              </w:rPr>
            </w:pPr>
            <w:r w:rsidRPr="00D90E53">
              <w:rPr>
                <w:rFonts w:cs="Arial"/>
                <w:b/>
                <w:bCs/>
                <w:sz w:val="20"/>
                <w:szCs w:val="20"/>
              </w:rPr>
              <w:t>17.985</w:t>
            </w:r>
          </w:p>
        </w:tc>
      </w:tr>
    </w:tbl>
    <w:p w:rsidR="00374D44" w:rsidRPr="00D90E53" w:rsidRDefault="00374D44" w:rsidP="00B41129">
      <w:pPr>
        <w:jc w:val="both"/>
      </w:pPr>
    </w:p>
    <w:p w:rsidR="00752413" w:rsidRPr="00D90E53" w:rsidRDefault="00752413" w:rsidP="00B41129">
      <w:pPr>
        <w:jc w:val="both"/>
      </w:pPr>
      <w:r w:rsidRPr="00D90E53">
        <w:t>MBIS costs include insurance, light, heat and power, marketing, communications, rent and rates, training costs and other sundry expenses; final MBIS costs outlined above have taken account of moving the licence fee to the E</w:t>
      </w:r>
      <w:r w:rsidRPr="00D90E53">
        <w:rPr>
          <w:vertAlign w:val="subscript"/>
        </w:rPr>
        <w:t>t</w:t>
      </w:r>
      <w:r w:rsidRPr="00D90E53">
        <w:t xml:space="preserve"> term and the reduction in agency staff costs to reflect additional full-time staff.</w:t>
      </w:r>
    </w:p>
    <w:p w:rsidR="00752413" w:rsidRPr="00D90E53" w:rsidRDefault="00752413" w:rsidP="00B41129">
      <w:pPr>
        <w:jc w:val="both"/>
      </w:pPr>
    </w:p>
    <w:p w:rsidR="00752413" w:rsidRPr="00D90E53" w:rsidRDefault="00752413" w:rsidP="00B41129">
      <w:pPr>
        <w:jc w:val="both"/>
      </w:pPr>
      <w:r w:rsidRPr="00D90E53">
        <w:t>The reduction in inter-business charges is primarily due to the transfer of meter</w:t>
      </w:r>
      <w:r w:rsidR="00087FFB">
        <w:t xml:space="preserve"> read</w:t>
      </w:r>
      <w:r w:rsidRPr="00D90E53">
        <w:t xml:space="preserve">ing to the Transmission and Distribution business </w:t>
      </w:r>
      <w:r w:rsidR="00277455" w:rsidRPr="00D90E53">
        <w:t>resulting in a reduction of</w:t>
      </w:r>
      <w:r w:rsidRPr="00D90E53">
        <w:t xml:space="preserve"> payment to Powerteam from the Supply business for these services.</w:t>
      </w:r>
    </w:p>
    <w:p w:rsidR="00752413" w:rsidRPr="00D90E53" w:rsidRDefault="00752413" w:rsidP="00B41129">
      <w:pPr>
        <w:jc w:val="both"/>
      </w:pPr>
    </w:p>
    <w:p w:rsidR="0028000B" w:rsidRPr="00D90E53" w:rsidRDefault="00752413" w:rsidP="00B41129">
      <w:pPr>
        <w:jc w:val="both"/>
      </w:pPr>
      <w:r w:rsidRPr="00D90E53">
        <w:t>Northgate charges</w:t>
      </w:r>
      <w:r w:rsidR="00277455" w:rsidRPr="00D90E53">
        <w:t xml:space="preserve"> include billing, call centre, </w:t>
      </w:r>
      <w:r w:rsidR="00087FFB">
        <w:t xml:space="preserve">debt management and </w:t>
      </w:r>
      <w:r w:rsidR="00277455" w:rsidRPr="00D90E53">
        <w:t>IT costs</w:t>
      </w:r>
      <w:r w:rsidR="00087FFB">
        <w:t xml:space="preserve"> (</w:t>
      </w:r>
      <w:r w:rsidR="00087FFB" w:rsidRPr="00D90E53">
        <w:t>meter-reading</w:t>
      </w:r>
      <w:r w:rsidR="00087FFB">
        <w:t xml:space="preserve"> costs are also included up to March 2007)</w:t>
      </w:r>
      <w:r w:rsidR="00277455" w:rsidRPr="00D90E53">
        <w:t>; the increase is driven primarily by large increases in IT and printing and mailing costs with smaller increases in bill printing and call centre costs.</w:t>
      </w:r>
    </w:p>
    <w:p w:rsidR="00277455" w:rsidRPr="00D90E53" w:rsidRDefault="00277455" w:rsidP="00B41129">
      <w:pPr>
        <w:jc w:val="both"/>
      </w:pPr>
    </w:p>
    <w:p w:rsidR="00387192" w:rsidRPr="00D90E53" w:rsidRDefault="00387192" w:rsidP="00B41129">
      <w:pPr>
        <w:jc w:val="both"/>
      </w:pPr>
    </w:p>
    <w:p w:rsidR="00387192" w:rsidRPr="00D90E53" w:rsidRDefault="00387192" w:rsidP="00B41129">
      <w:pPr>
        <w:jc w:val="both"/>
      </w:pPr>
    </w:p>
    <w:p w:rsidR="00A03807" w:rsidRDefault="00A03807" w:rsidP="00C30932">
      <w:pPr>
        <w:jc w:val="both"/>
        <w:outlineLvl w:val="0"/>
        <w:rPr>
          <w:b/>
          <w:sz w:val="36"/>
          <w:szCs w:val="36"/>
        </w:rPr>
      </w:pPr>
      <w:bookmarkStart w:id="37" w:name="_Toc184009294"/>
    </w:p>
    <w:p w:rsidR="00387192" w:rsidRPr="000A7094" w:rsidRDefault="00387192" w:rsidP="00C30932">
      <w:pPr>
        <w:jc w:val="both"/>
        <w:outlineLvl w:val="0"/>
        <w:rPr>
          <w:b/>
          <w:sz w:val="36"/>
          <w:szCs w:val="36"/>
        </w:rPr>
      </w:pPr>
      <w:r w:rsidRPr="000A7094">
        <w:rPr>
          <w:b/>
          <w:sz w:val="36"/>
          <w:szCs w:val="36"/>
        </w:rPr>
        <w:t>Depreciation</w:t>
      </w:r>
      <w:bookmarkEnd w:id="37"/>
      <w:r w:rsidR="0025264C" w:rsidRPr="000A7094">
        <w:rPr>
          <w:b/>
          <w:sz w:val="36"/>
          <w:szCs w:val="36"/>
        </w:rPr>
        <w:fldChar w:fldCharType="begin"/>
      </w:r>
      <w:r w:rsidR="0025264C" w:rsidRPr="000A7094">
        <w:rPr>
          <w:b/>
          <w:sz w:val="36"/>
          <w:szCs w:val="36"/>
        </w:rPr>
        <w:instrText xml:space="preserve"> TC "</w:instrText>
      </w:r>
      <w:bookmarkStart w:id="38" w:name="_Toc181605574"/>
      <w:r w:rsidR="0025264C" w:rsidRPr="000A7094">
        <w:rPr>
          <w:b/>
          <w:sz w:val="36"/>
          <w:szCs w:val="36"/>
        </w:rPr>
        <w:instrText>Depreciation</w:instrText>
      </w:r>
      <w:bookmarkEnd w:id="38"/>
      <w:r w:rsidR="0025264C" w:rsidRPr="000A7094">
        <w:rPr>
          <w:b/>
          <w:sz w:val="36"/>
          <w:szCs w:val="36"/>
        </w:rPr>
        <w:instrText xml:space="preserve">" \f C \l "1" </w:instrText>
      </w:r>
      <w:r w:rsidR="0025264C" w:rsidRPr="000A7094">
        <w:rPr>
          <w:b/>
          <w:sz w:val="36"/>
          <w:szCs w:val="36"/>
        </w:rPr>
        <w:fldChar w:fldCharType="end"/>
      </w:r>
    </w:p>
    <w:p w:rsidR="00387192" w:rsidRPr="00D90E53" w:rsidRDefault="00387192" w:rsidP="00B41129">
      <w:pPr>
        <w:jc w:val="both"/>
      </w:pPr>
    </w:p>
    <w:p w:rsidR="00387192" w:rsidRDefault="00387192" w:rsidP="00B41129">
      <w:pPr>
        <w:jc w:val="both"/>
      </w:pPr>
      <w:r w:rsidRPr="00D90E53">
        <w:t xml:space="preserve">Depreciation amounts are residual to the transfer of </w:t>
      </w:r>
      <w:r w:rsidR="00087FFB">
        <w:t xml:space="preserve">Keypad </w:t>
      </w:r>
      <w:r w:rsidRPr="00D90E53">
        <w:t>metering assets to Transmission and Distribution and will amount to £0.128m over the period of the price control:</w:t>
      </w:r>
    </w:p>
    <w:p w:rsidR="00087FFB" w:rsidRPr="00D90E53" w:rsidRDefault="00087FFB" w:rsidP="00B41129">
      <w:pPr>
        <w:jc w:val="both"/>
      </w:pPr>
    </w:p>
    <w:p w:rsidR="00387192" w:rsidRPr="00D90E53" w:rsidRDefault="00387192" w:rsidP="00B41129">
      <w:pPr>
        <w:jc w:val="both"/>
      </w:pPr>
    </w:p>
    <w:tbl>
      <w:tblPr>
        <w:tblW w:w="5661" w:type="dxa"/>
        <w:jc w:val="center"/>
        <w:tblInd w:w="96" w:type="dxa"/>
        <w:tblLook w:val="0000"/>
      </w:tblPr>
      <w:tblGrid>
        <w:gridCol w:w="2601"/>
        <w:gridCol w:w="1020"/>
        <w:gridCol w:w="1020"/>
        <w:gridCol w:w="1020"/>
      </w:tblGrid>
      <w:tr w:rsidR="00387192" w:rsidRPr="00D90E53">
        <w:trPr>
          <w:trHeight w:val="264"/>
          <w:jc w:val="center"/>
        </w:trPr>
        <w:tc>
          <w:tcPr>
            <w:tcW w:w="2601" w:type="dxa"/>
            <w:tcBorders>
              <w:top w:val="single" w:sz="4" w:space="0" w:color="auto"/>
              <w:left w:val="single" w:sz="4" w:space="0" w:color="auto"/>
              <w:bottom w:val="nil"/>
              <w:right w:val="single" w:sz="4" w:space="0" w:color="auto"/>
            </w:tcBorders>
            <w:shd w:val="clear" w:color="auto" w:fill="auto"/>
            <w:noWrap/>
            <w:vAlign w:val="bottom"/>
          </w:tcPr>
          <w:p w:rsidR="00387192" w:rsidRPr="00D90E53" w:rsidRDefault="00387192" w:rsidP="00387192">
            <w:pPr>
              <w:rPr>
                <w:rFonts w:cs="Arial"/>
                <w:b/>
                <w:bCs/>
                <w:sz w:val="20"/>
                <w:szCs w:val="20"/>
                <w:lang w:val="en-US"/>
              </w:rPr>
            </w:pPr>
            <w:r w:rsidRPr="00D90E53">
              <w:rPr>
                <w:rFonts w:cs="Arial"/>
                <w:b/>
                <w:bCs/>
                <w:sz w:val="20"/>
                <w:szCs w:val="20"/>
                <w:lang w:val="en-US"/>
              </w:rPr>
              <w:t>2006/07 Prices</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2006/07</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2007/08</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2008/09</w:t>
            </w:r>
          </w:p>
        </w:tc>
      </w:tr>
      <w:tr w:rsidR="00387192" w:rsidRPr="00D90E53">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tcPr>
          <w:p w:rsidR="00387192" w:rsidRPr="00D90E53" w:rsidRDefault="00387192" w:rsidP="00387192">
            <w:pPr>
              <w:rPr>
                <w:rFonts w:cs="Arial"/>
                <w:sz w:val="20"/>
                <w:szCs w:val="20"/>
                <w:lang w:val="en-US"/>
              </w:rPr>
            </w:pPr>
            <w:r w:rsidRPr="00D90E53">
              <w:rPr>
                <w:rFonts w:cs="Arial"/>
                <w:sz w:val="20"/>
                <w:szCs w:val="20"/>
                <w:lang w:val="en-US"/>
              </w:rPr>
              <w:t> </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£m</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£m</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rsidP="00387192">
            <w:pPr>
              <w:jc w:val="right"/>
              <w:rPr>
                <w:rFonts w:cs="Arial"/>
                <w:b/>
                <w:bCs/>
                <w:sz w:val="20"/>
                <w:szCs w:val="20"/>
                <w:lang w:val="en-US"/>
              </w:rPr>
            </w:pPr>
            <w:r w:rsidRPr="00D90E53">
              <w:rPr>
                <w:rFonts w:cs="Arial"/>
                <w:b/>
                <w:bCs/>
                <w:sz w:val="20"/>
                <w:szCs w:val="20"/>
                <w:lang w:val="en-US"/>
              </w:rPr>
              <w:t>£m</w:t>
            </w:r>
          </w:p>
        </w:tc>
      </w:tr>
      <w:tr w:rsidR="00387192" w:rsidRPr="00D90E53">
        <w:trPr>
          <w:trHeight w:val="264"/>
          <w:jc w:val="center"/>
        </w:trPr>
        <w:tc>
          <w:tcPr>
            <w:tcW w:w="2601" w:type="dxa"/>
            <w:tcBorders>
              <w:top w:val="nil"/>
              <w:left w:val="single" w:sz="4" w:space="0" w:color="auto"/>
              <w:bottom w:val="single" w:sz="4" w:space="0" w:color="auto"/>
              <w:right w:val="single" w:sz="4" w:space="0" w:color="auto"/>
            </w:tcBorders>
            <w:shd w:val="clear" w:color="auto" w:fill="339966"/>
            <w:noWrap/>
            <w:vAlign w:val="bottom"/>
          </w:tcPr>
          <w:p w:rsidR="00387192" w:rsidRPr="00D90E53" w:rsidRDefault="00387192" w:rsidP="00387192">
            <w:pPr>
              <w:rPr>
                <w:rFonts w:cs="Arial"/>
                <w:b/>
                <w:bCs/>
                <w:sz w:val="20"/>
                <w:szCs w:val="20"/>
                <w:lang w:val="en-US"/>
              </w:rPr>
            </w:pPr>
            <w:r w:rsidRPr="00D90E53">
              <w:rPr>
                <w:rFonts w:cs="Arial"/>
                <w:b/>
                <w:bCs/>
                <w:sz w:val="20"/>
                <w:szCs w:val="20"/>
                <w:lang w:val="en-US"/>
              </w:rPr>
              <w:t>Depreciation</w:t>
            </w:r>
          </w:p>
        </w:tc>
        <w:tc>
          <w:tcPr>
            <w:tcW w:w="1020" w:type="dxa"/>
            <w:tcBorders>
              <w:top w:val="nil"/>
              <w:left w:val="nil"/>
              <w:bottom w:val="single" w:sz="4" w:space="0" w:color="auto"/>
              <w:right w:val="single" w:sz="4" w:space="0" w:color="auto"/>
            </w:tcBorders>
            <w:shd w:val="clear" w:color="auto" w:fill="339966"/>
            <w:noWrap/>
            <w:vAlign w:val="bottom"/>
          </w:tcPr>
          <w:p w:rsidR="00387192" w:rsidRPr="00D90E53" w:rsidRDefault="00387192" w:rsidP="00387192">
            <w:pPr>
              <w:jc w:val="right"/>
              <w:rPr>
                <w:rFonts w:cs="Arial"/>
                <w:b/>
                <w:bCs/>
                <w:color w:val="000000"/>
                <w:sz w:val="20"/>
                <w:szCs w:val="20"/>
                <w:lang w:val="en-US"/>
              </w:rPr>
            </w:pPr>
            <w:r w:rsidRPr="00D90E53">
              <w:rPr>
                <w:rFonts w:cs="Arial"/>
                <w:b/>
                <w:bCs/>
                <w:color w:val="000000"/>
                <w:sz w:val="20"/>
                <w:szCs w:val="20"/>
                <w:lang w:val="en-US"/>
              </w:rPr>
              <w:t>1.069</w:t>
            </w:r>
          </w:p>
        </w:tc>
        <w:tc>
          <w:tcPr>
            <w:tcW w:w="1020" w:type="dxa"/>
            <w:tcBorders>
              <w:top w:val="nil"/>
              <w:left w:val="nil"/>
              <w:bottom w:val="single" w:sz="4" w:space="0" w:color="auto"/>
              <w:right w:val="single" w:sz="4" w:space="0" w:color="auto"/>
            </w:tcBorders>
            <w:shd w:val="clear" w:color="auto" w:fill="339966"/>
            <w:noWrap/>
            <w:vAlign w:val="bottom"/>
          </w:tcPr>
          <w:p w:rsidR="00387192" w:rsidRPr="00D90E53" w:rsidRDefault="00387192" w:rsidP="00387192">
            <w:pPr>
              <w:jc w:val="right"/>
              <w:rPr>
                <w:rFonts w:cs="Arial"/>
                <w:b/>
                <w:bCs/>
                <w:color w:val="000000"/>
                <w:sz w:val="20"/>
                <w:szCs w:val="20"/>
                <w:lang w:val="en-US"/>
              </w:rPr>
            </w:pPr>
            <w:r w:rsidRPr="00D90E53">
              <w:rPr>
                <w:rFonts w:cs="Arial"/>
                <w:b/>
                <w:bCs/>
                <w:color w:val="000000"/>
                <w:sz w:val="20"/>
                <w:szCs w:val="20"/>
                <w:lang w:val="en-US"/>
              </w:rPr>
              <w:t>0.111</w:t>
            </w:r>
          </w:p>
        </w:tc>
        <w:tc>
          <w:tcPr>
            <w:tcW w:w="1020" w:type="dxa"/>
            <w:tcBorders>
              <w:top w:val="nil"/>
              <w:left w:val="nil"/>
              <w:bottom w:val="single" w:sz="4" w:space="0" w:color="auto"/>
              <w:right w:val="single" w:sz="4" w:space="0" w:color="auto"/>
            </w:tcBorders>
            <w:shd w:val="clear" w:color="auto" w:fill="339966"/>
            <w:noWrap/>
            <w:vAlign w:val="bottom"/>
          </w:tcPr>
          <w:p w:rsidR="00387192" w:rsidRPr="00D90E53" w:rsidRDefault="00387192" w:rsidP="00387192">
            <w:pPr>
              <w:jc w:val="right"/>
              <w:rPr>
                <w:rFonts w:cs="Arial"/>
                <w:b/>
                <w:bCs/>
                <w:color w:val="000000"/>
                <w:sz w:val="20"/>
                <w:szCs w:val="20"/>
                <w:lang w:val="en-US"/>
              </w:rPr>
            </w:pPr>
            <w:r w:rsidRPr="00D90E53">
              <w:rPr>
                <w:rFonts w:cs="Arial"/>
                <w:b/>
                <w:bCs/>
                <w:color w:val="000000"/>
                <w:sz w:val="20"/>
                <w:szCs w:val="20"/>
                <w:lang w:val="en-US"/>
              </w:rPr>
              <w:t>0.017</w:t>
            </w:r>
          </w:p>
        </w:tc>
      </w:tr>
    </w:tbl>
    <w:p w:rsidR="00387192" w:rsidRPr="00D90E53" w:rsidRDefault="00387192" w:rsidP="00B41129">
      <w:pPr>
        <w:jc w:val="both"/>
      </w:pPr>
    </w:p>
    <w:p w:rsidR="00387192" w:rsidRPr="00D90E53" w:rsidRDefault="00387192" w:rsidP="00B41129">
      <w:pPr>
        <w:jc w:val="both"/>
      </w:pPr>
    </w:p>
    <w:p w:rsidR="0028000B" w:rsidRDefault="0028000B" w:rsidP="00B41129">
      <w:pPr>
        <w:jc w:val="both"/>
      </w:pPr>
    </w:p>
    <w:p w:rsidR="00B504A5" w:rsidRDefault="00B504A5" w:rsidP="00B41129">
      <w:pPr>
        <w:jc w:val="both"/>
      </w:pPr>
    </w:p>
    <w:p w:rsidR="008465D2" w:rsidRPr="000A7094" w:rsidRDefault="00BF6038" w:rsidP="00C30932">
      <w:pPr>
        <w:jc w:val="both"/>
        <w:outlineLvl w:val="0"/>
        <w:rPr>
          <w:b/>
          <w:sz w:val="36"/>
          <w:szCs w:val="36"/>
        </w:rPr>
      </w:pPr>
      <w:bookmarkStart w:id="39" w:name="_Toc184009295"/>
      <w:r w:rsidRPr="000A7094">
        <w:rPr>
          <w:b/>
          <w:sz w:val="36"/>
          <w:szCs w:val="36"/>
        </w:rPr>
        <w:t>Margin</w:t>
      </w:r>
      <w:bookmarkEnd w:id="39"/>
      <w:r w:rsidR="0025264C" w:rsidRPr="000A7094">
        <w:rPr>
          <w:b/>
          <w:sz w:val="36"/>
          <w:szCs w:val="36"/>
        </w:rPr>
        <w:fldChar w:fldCharType="begin"/>
      </w:r>
      <w:r w:rsidR="0025264C" w:rsidRPr="000A7094">
        <w:rPr>
          <w:b/>
          <w:sz w:val="36"/>
          <w:szCs w:val="36"/>
        </w:rPr>
        <w:instrText xml:space="preserve"> TC "</w:instrText>
      </w:r>
      <w:bookmarkStart w:id="40" w:name="_Toc181605575"/>
      <w:r w:rsidR="0025264C" w:rsidRPr="000A7094">
        <w:rPr>
          <w:b/>
          <w:sz w:val="36"/>
          <w:szCs w:val="36"/>
        </w:rPr>
        <w:instrText>Margin</w:instrText>
      </w:r>
      <w:bookmarkEnd w:id="40"/>
      <w:r w:rsidR="0025264C" w:rsidRPr="000A7094">
        <w:rPr>
          <w:b/>
          <w:sz w:val="36"/>
          <w:szCs w:val="36"/>
        </w:rPr>
        <w:instrText xml:space="preserve">" \f C \l "1" </w:instrText>
      </w:r>
      <w:r w:rsidR="0025264C" w:rsidRPr="000A7094">
        <w:rPr>
          <w:b/>
          <w:sz w:val="36"/>
          <w:szCs w:val="36"/>
        </w:rPr>
        <w:fldChar w:fldCharType="end"/>
      </w:r>
    </w:p>
    <w:p w:rsidR="00D80C6E" w:rsidRPr="00D90E53" w:rsidRDefault="00D80C6E" w:rsidP="00B41129">
      <w:pPr>
        <w:jc w:val="both"/>
      </w:pPr>
    </w:p>
    <w:p w:rsidR="000A08AB" w:rsidRPr="000A7094" w:rsidRDefault="000A08AB" w:rsidP="00C30932">
      <w:pPr>
        <w:jc w:val="both"/>
        <w:outlineLvl w:val="0"/>
        <w:rPr>
          <w:b/>
          <w:sz w:val="32"/>
          <w:szCs w:val="32"/>
        </w:rPr>
      </w:pPr>
      <w:bookmarkStart w:id="41" w:name="_Toc184009296"/>
      <w:r w:rsidRPr="000A7094">
        <w:rPr>
          <w:b/>
          <w:sz w:val="32"/>
          <w:szCs w:val="32"/>
        </w:rPr>
        <w:t xml:space="preserve">Utility Regulator </w:t>
      </w:r>
      <w:r w:rsidR="00C3039F" w:rsidRPr="000A7094">
        <w:rPr>
          <w:b/>
          <w:sz w:val="32"/>
          <w:szCs w:val="32"/>
        </w:rPr>
        <w:t>Decision</w:t>
      </w:r>
      <w:bookmarkEnd w:id="41"/>
    </w:p>
    <w:p w:rsidR="00D80C6E" w:rsidRPr="00D90E53" w:rsidRDefault="00D80C6E" w:rsidP="00B41129">
      <w:pPr>
        <w:jc w:val="both"/>
      </w:pPr>
    </w:p>
    <w:p w:rsidR="00F551C8" w:rsidRDefault="005768D8" w:rsidP="00725AEE">
      <w:pPr>
        <w:autoSpaceDE w:val="0"/>
        <w:autoSpaceDN w:val="0"/>
        <w:adjustRightInd w:val="0"/>
      </w:pPr>
      <w:r w:rsidRPr="00D90E53">
        <w:t xml:space="preserve">Since the supply business has </w:t>
      </w:r>
      <w:r w:rsidR="00087FFB">
        <w:t>relatively few</w:t>
      </w:r>
      <w:r w:rsidRPr="00D90E53">
        <w:t xml:space="preserve"> assets on which a return could be earned</w:t>
      </w:r>
      <w:r w:rsidR="004D0B77" w:rsidRPr="00D90E53">
        <w:t xml:space="preserve"> and w</w:t>
      </w:r>
      <w:r w:rsidRPr="00D90E53">
        <w:t xml:space="preserve">hilst </w:t>
      </w:r>
      <w:r w:rsidR="0018013D" w:rsidRPr="00D90E53">
        <w:t>we understand</w:t>
      </w:r>
      <w:r w:rsidRPr="00D90E53">
        <w:t xml:space="preserve"> that in the long-term margins are likely to increase in a competitive market</w:t>
      </w:r>
      <w:r w:rsidR="00725AEE" w:rsidRPr="00D90E53">
        <w:t>,</w:t>
      </w:r>
      <w:r w:rsidRPr="00D90E53">
        <w:t xml:space="preserve"> in their decision paper </w:t>
      </w:r>
      <w:r w:rsidR="00725AEE" w:rsidRPr="00D90E53">
        <w:rPr>
          <w:rFonts w:cs="Arial"/>
          <w:bCs/>
          <w:i/>
          <w:lang w:val="en-US"/>
        </w:rPr>
        <w:t>Regulation of ESB and NIE in SEM: A Decision Paper</w:t>
      </w:r>
      <w:r w:rsidR="00D90E53">
        <w:rPr>
          <w:rStyle w:val="EndnoteReference"/>
          <w:rFonts w:cs="Arial"/>
          <w:bCs/>
          <w:i/>
          <w:lang w:val="en-US"/>
        </w:rPr>
        <w:endnoteReference w:id="2"/>
      </w:r>
      <w:r w:rsidR="00725AEE" w:rsidRPr="00D90E53">
        <w:rPr>
          <w:rFonts w:cs="Arial"/>
          <w:bCs/>
          <w:i/>
          <w:lang w:val="en-US"/>
        </w:rPr>
        <w:t xml:space="preserve"> </w:t>
      </w:r>
      <w:r w:rsidR="00725AEE" w:rsidRPr="00D90E53">
        <w:rPr>
          <w:rFonts w:cs="Arial"/>
          <w:bCs/>
          <w:lang w:val="en-US"/>
        </w:rPr>
        <w:t>the Regulatory Authorities (RAs) decided to continue with prevailing margins for PES businesses.  The decision will be reviewed after one year of new market arrangements, in November 2008</w:t>
      </w:r>
      <w:r w:rsidR="0018013D" w:rsidRPr="00D90E53">
        <w:t>.  We therefore propose to set the margin at 1.8% for the duration of the price control</w:t>
      </w:r>
      <w:r w:rsidR="00725AEE" w:rsidRPr="00D90E53">
        <w:t xml:space="preserve"> however, this will be subject to the outcome of the aforementioned review</w:t>
      </w:r>
      <w:r w:rsidR="0018013D" w:rsidRPr="00D90E53">
        <w:t>.</w:t>
      </w:r>
    </w:p>
    <w:p w:rsidR="00F551C8" w:rsidRDefault="00F551C8" w:rsidP="00725AEE">
      <w:pPr>
        <w:autoSpaceDE w:val="0"/>
        <w:autoSpaceDN w:val="0"/>
        <w:adjustRightInd w:val="0"/>
      </w:pPr>
    </w:p>
    <w:p w:rsidR="00F551C8" w:rsidRPr="00D90E53" w:rsidRDefault="00F551C8" w:rsidP="00725AEE">
      <w:pPr>
        <w:autoSpaceDE w:val="0"/>
        <w:autoSpaceDN w:val="0"/>
        <w:adjustRightInd w:val="0"/>
      </w:pPr>
      <w:r>
        <w:t xml:space="preserve">The Utility Regulator has set a higher margin for NIE Supply than that for Phoenix </w:t>
      </w:r>
      <w:r w:rsidR="00534BA0">
        <w:t>Supply Limited</w:t>
      </w:r>
      <w:r>
        <w:t xml:space="preserve"> due to a higher degree of risk of competi</w:t>
      </w:r>
      <w:r w:rsidR="00534BA0">
        <w:t xml:space="preserve">tors entering the market.  Consultation responses implied support for a higher margin to encourage competition considering NIE Supply’s market dominance; one respondent stated that although other suppliers face higher risk and higher costs, the ability to cover their costs is constrained by the decision on NIE Supply’s margin. </w:t>
      </w:r>
    </w:p>
    <w:p w:rsidR="00B742FB" w:rsidRPr="000749A6" w:rsidRDefault="00B742FB" w:rsidP="00B41129">
      <w:pPr>
        <w:jc w:val="both"/>
      </w:pPr>
    </w:p>
    <w:p w:rsidR="00B742FB" w:rsidRPr="000749A6" w:rsidRDefault="00B742FB" w:rsidP="00B41129">
      <w:pPr>
        <w:jc w:val="both"/>
      </w:pPr>
    </w:p>
    <w:p w:rsidR="00387192" w:rsidRPr="000749A6" w:rsidRDefault="00387192" w:rsidP="00B41129">
      <w:pPr>
        <w:jc w:val="both"/>
      </w:pPr>
    </w:p>
    <w:p w:rsidR="00BF6038" w:rsidRPr="000A7094" w:rsidRDefault="00BF6038" w:rsidP="00B41129">
      <w:pPr>
        <w:jc w:val="both"/>
        <w:rPr>
          <w:b/>
          <w:sz w:val="36"/>
          <w:szCs w:val="36"/>
        </w:rPr>
      </w:pPr>
      <w:r w:rsidRPr="000A7094">
        <w:rPr>
          <w:b/>
          <w:sz w:val="36"/>
          <w:szCs w:val="36"/>
        </w:rPr>
        <w:t>Allowed Revenue</w:t>
      </w:r>
      <w:r w:rsidR="0028000B" w:rsidRPr="000A7094">
        <w:rPr>
          <w:b/>
          <w:sz w:val="36"/>
          <w:szCs w:val="36"/>
        </w:rPr>
        <w:t xml:space="preserve"> (S</w:t>
      </w:r>
      <w:r w:rsidR="0028000B" w:rsidRPr="000A7094">
        <w:rPr>
          <w:b/>
          <w:sz w:val="36"/>
          <w:szCs w:val="36"/>
          <w:vertAlign w:val="subscript"/>
        </w:rPr>
        <w:t>t</w:t>
      </w:r>
      <w:r w:rsidR="0028000B" w:rsidRPr="000A7094">
        <w:rPr>
          <w:b/>
          <w:sz w:val="36"/>
          <w:szCs w:val="36"/>
        </w:rPr>
        <w:t>)</w:t>
      </w:r>
      <w:r w:rsidR="0025264C" w:rsidRPr="000A7094">
        <w:rPr>
          <w:b/>
          <w:sz w:val="36"/>
          <w:szCs w:val="36"/>
        </w:rPr>
        <w:fldChar w:fldCharType="begin"/>
      </w:r>
      <w:r w:rsidR="0025264C" w:rsidRPr="000A7094">
        <w:rPr>
          <w:b/>
          <w:sz w:val="36"/>
          <w:szCs w:val="36"/>
        </w:rPr>
        <w:instrText xml:space="preserve"> TC "</w:instrText>
      </w:r>
      <w:bookmarkStart w:id="42" w:name="_Toc181605576"/>
      <w:r w:rsidR="0025264C" w:rsidRPr="000A7094">
        <w:rPr>
          <w:b/>
          <w:sz w:val="36"/>
          <w:szCs w:val="36"/>
        </w:rPr>
        <w:instrText>Allowed Revenue (S</w:instrText>
      </w:r>
      <w:r w:rsidR="0025264C" w:rsidRPr="000A7094">
        <w:rPr>
          <w:b/>
          <w:sz w:val="36"/>
          <w:szCs w:val="36"/>
          <w:vertAlign w:val="subscript"/>
        </w:rPr>
        <w:instrText>t</w:instrText>
      </w:r>
      <w:r w:rsidR="0025264C" w:rsidRPr="000A7094">
        <w:rPr>
          <w:b/>
          <w:sz w:val="36"/>
          <w:szCs w:val="36"/>
        </w:rPr>
        <w:instrText>)</w:instrText>
      </w:r>
      <w:bookmarkEnd w:id="42"/>
      <w:r w:rsidR="0025264C" w:rsidRPr="000A7094">
        <w:rPr>
          <w:b/>
          <w:sz w:val="36"/>
          <w:szCs w:val="36"/>
        </w:rPr>
        <w:instrText xml:space="preserve">" \f C \l "1" </w:instrText>
      </w:r>
      <w:r w:rsidR="0025264C" w:rsidRPr="000A7094">
        <w:rPr>
          <w:b/>
          <w:sz w:val="36"/>
          <w:szCs w:val="36"/>
        </w:rPr>
        <w:fldChar w:fldCharType="end"/>
      </w:r>
    </w:p>
    <w:p w:rsidR="00D80C6E" w:rsidRPr="00D90E53" w:rsidRDefault="00D80C6E" w:rsidP="00B41129">
      <w:pPr>
        <w:jc w:val="both"/>
      </w:pPr>
    </w:p>
    <w:p w:rsidR="0028000B" w:rsidRPr="00D90E53" w:rsidRDefault="0028000B" w:rsidP="00B41129">
      <w:pPr>
        <w:jc w:val="both"/>
      </w:pPr>
      <w:r w:rsidRPr="00D90E53">
        <w:t>The allowed revenue figure is the total of operating costs and the allowed margin:</w:t>
      </w:r>
    </w:p>
    <w:p w:rsidR="0028000B" w:rsidRPr="00D90E53" w:rsidRDefault="0028000B" w:rsidP="00B41129">
      <w:pPr>
        <w:jc w:val="both"/>
      </w:pPr>
    </w:p>
    <w:tbl>
      <w:tblPr>
        <w:tblW w:w="4879" w:type="dxa"/>
        <w:jc w:val="center"/>
        <w:tblInd w:w="96" w:type="dxa"/>
        <w:tblLook w:val="0000"/>
      </w:tblPr>
      <w:tblGrid>
        <w:gridCol w:w="2839"/>
        <w:gridCol w:w="1020"/>
        <w:gridCol w:w="1020"/>
      </w:tblGrid>
      <w:tr w:rsidR="00387192" w:rsidRPr="00D90E53">
        <w:trPr>
          <w:trHeight w:val="264"/>
          <w:jc w:val="center"/>
        </w:trPr>
        <w:tc>
          <w:tcPr>
            <w:tcW w:w="2839" w:type="dxa"/>
            <w:tcBorders>
              <w:top w:val="single" w:sz="4" w:space="0" w:color="auto"/>
              <w:left w:val="single" w:sz="4" w:space="0" w:color="auto"/>
              <w:bottom w:val="nil"/>
              <w:right w:val="single" w:sz="4" w:space="0" w:color="auto"/>
            </w:tcBorders>
            <w:shd w:val="clear" w:color="auto" w:fill="auto"/>
            <w:noWrap/>
            <w:vAlign w:val="bottom"/>
          </w:tcPr>
          <w:p w:rsidR="00387192" w:rsidRPr="00D90E53" w:rsidRDefault="00387192">
            <w:pPr>
              <w:rPr>
                <w:rFonts w:cs="Arial"/>
                <w:b/>
                <w:bCs/>
                <w:sz w:val="20"/>
                <w:szCs w:val="20"/>
              </w:rPr>
            </w:pPr>
            <w:r w:rsidRPr="00D90E53">
              <w:rPr>
                <w:rFonts w:cs="Arial"/>
                <w:b/>
                <w:bCs/>
                <w:sz w:val="20"/>
                <w:szCs w:val="20"/>
              </w:rPr>
              <w:t>2006/07 Prices</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2007/08</w:t>
            </w:r>
          </w:p>
        </w:tc>
        <w:tc>
          <w:tcPr>
            <w:tcW w:w="1020" w:type="dxa"/>
            <w:tcBorders>
              <w:top w:val="single" w:sz="4" w:space="0" w:color="auto"/>
              <w:left w:val="nil"/>
              <w:bottom w:val="nil"/>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2008/09</w:t>
            </w:r>
          </w:p>
        </w:tc>
      </w:tr>
      <w:tr w:rsidR="00387192" w:rsidRPr="00D90E53">
        <w:trPr>
          <w:trHeight w:val="264"/>
          <w:jc w:val="center"/>
        </w:trPr>
        <w:tc>
          <w:tcPr>
            <w:tcW w:w="2839" w:type="dxa"/>
            <w:tcBorders>
              <w:top w:val="nil"/>
              <w:left w:val="single" w:sz="4" w:space="0" w:color="auto"/>
              <w:bottom w:val="single" w:sz="4" w:space="0" w:color="auto"/>
              <w:right w:val="single" w:sz="4" w:space="0" w:color="auto"/>
            </w:tcBorders>
            <w:shd w:val="clear" w:color="auto" w:fill="auto"/>
            <w:noWrap/>
            <w:vAlign w:val="bottom"/>
          </w:tcPr>
          <w:p w:rsidR="00387192" w:rsidRPr="00D90E53" w:rsidRDefault="00387192">
            <w:pPr>
              <w:rPr>
                <w:rFonts w:cs="Arial"/>
                <w:sz w:val="20"/>
                <w:szCs w:val="20"/>
              </w:rPr>
            </w:pPr>
            <w:r w:rsidRPr="00D90E53">
              <w:rPr>
                <w:rFonts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£m</w:t>
            </w:r>
          </w:p>
        </w:tc>
        <w:tc>
          <w:tcPr>
            <w:tcW w:w="1020" w:type="dxa"/>
            <w:tcBorders>
              <w:top w:val="nil"/>
              <w:left w:val="nil"/>
              <w:bottom w:val="single" w:sz="4" w:space="0" w:color="auto"/>
              <w:right w:val="single" w:sz="4" w:space="0" w:color="auto"/>
            </w:tcBorders>
            <w:shd w:val="clear" w:color="auto" w:fill="auto"/>
            <w:noWrap/>
            <w:vAlign w:val="bottom"/>
          </w:tcPr>
          <w:p w:rsidR="00387192" w:rsidRPr="00D90E53" w:rsidRDefault="00387192">
            <w:pPr>
              <w:jc w:val="right"/>
              <w:rPr>
                <w:rFonts w:cs="Arial"/>
                <w:b/>
                <w:bCs/>
                <w:sz w:val="20"/>
                <w:szCs w:val="20"/>
              </w:rPr>
            </w:pPr>
            <w:r w:rsidRPr="00D90E53">
              <w:rPr>
                <w:rFonts w:cs="Arial"/>
                <w:b/>
                <w:bCs/>
                <w:sz w:val="20"/>
                <w:szCs w:val="20"/>
              </w:rPr>
              <w:t>£m</w:t>
            </w:r>
          </w:p>
        </w:tc>
      </w:tr>
      <w:tr w:rsidR="00387192" w:rsidRPr="00D90E53">
        <w:trPr>
          <w:trHeight w:val="264"/>
          <w:jc w:val="center"/>
        </w:trPr>
        <w:tc>
          <w:tcPr>
            <w:tcW w:w="2839" w:type="dxa"/>
            <w:tcBorders>
              <w:top w:val="nil"/>
              <w:left w:val="single" w:sz="4" w:space="0" w:color="auto"/>
              <w:bottom w:val="single" w:sz="4" w:space="0" w:color="auto"/>
              <w:right w:val="single" w:sz="4" w:space="0" w:color="auto"/>
            </w:tcBorders>
            <w:shd w:val="clear" w:color="auto" w:fill="CCFFCC"/>
            <w:noWrap/>
            <w:vAlign w:val="bottom"/>
          </w:tcPr>
          <w:p w:rsidR="00387192" w:rsidRPr="00D90E53" w:rsidRDefault="00387192">
            <w:pPr>
              <w:rPr>
                <w:rFonts w:cs="Arial"/>
                <w:b/>
                <w:bCs/>
                <w:sz w:val="20"/>
                <w:szCs w:val="20"/>
              </w:rPr>
            </w:pPr>
            <w:r w:rsidRPr="00D90E53">
              <w:rPr>
                <w:rFonts w:cs="Arial"/>
                <w:b/>
                <w:bCs/>
                <w:sz w:val="20"/>
                <w:szCs w:val="20"/>
              </w:rPr>
              <w:t>Total Operating Costs</w:t>
            </w:r>
          </w:p>
        </w:tc>
        <w:tc>
          <w:tcPr>
            <w:tcW w:w="1020" w:type="dxa"/>
            <w:tcBorders>
              <w:top w:val="nil"/>
              <w:left w:val="nil"/>
              <w:bottom w:val="single" w:sz="4" w:space="0" w:color="auto"/>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17.602</w:t>
            </w:r>
          </w:p>
        </w:tc>
        <w:tc>
          <w:tcPr>
            <w:tcW w:w="1020" w:type="dxa"/>
            <w:tcBorders>
              <w:top w:val="nil"/>
              <w:left w:val="nil"/>
              <w:bottom w:val="single" w:sz="4" w:space="0" w:color="auto"/>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17.985</w:t>
            </w:r>
          </w:p>
        </w:tc>
      </w:tr>
      <w:tr w:rsidR="00387192" w:rsidRPr="00D90E53">
        <w:trPr>
          <w:trHeight w:val="264"/>
          <w:jc w:val="center"/>
        </w:trPr>
        <w:tc>
          <w:tcPr>
            <w:tcW w:w="2839" w:type="dxa"/>
            <w:tcBorders>
              <w:top w:val="nil"/>
              <w:left w:val="single" w:sz="4" w:space="0" w:color="auto"/>
              <w:bottom w:val="single" w:sz="4" w:space="0" w:color="auto"/>
              <w:right w:val="single" w:sz="4" w:space="0" w:color="auto"/>
            </w:tcBorders>
            <w:shd w:val="clear" w:color="auto" w:fill="CCFFCC"/>
            <w:noWrap/>
            <w:vAlign w:val="bottom"/>
          </w:tcPr>
          <w:p w:rsidR="00387192" w:rsidRPr="00D90E53" w:rsidRDefault="00387192">
            <w:pPr>
              <w:rPr>
                <w:rFonts w:cs="Arial"/>
                <w:b/>
                <w:bCs/>
                <w:sz w:val="20"/>
                <w:szCs w:val="20"/>
              </w:rPr>
            </w:pPr>
            <w:r w:rsidRPr="00D90E53">
              <w:rPr>
                <w:rFonts w:cs="Arial"/>
                <w:b/>
                <w:bCs/>
                <w:sz w:val="20"/>
                <w:szCs w:val="20"/>
              </w:rPr>
              <w:t>Depreciation</w:t>
            </w:r>
          </w:p>
        </w:tc>
        <w:tc>
          <w:tcPr>
            <w:tcW w:w="1020" w:type="dxa"/>
            <w:tcBorders>
              <w:top w:val="nil"/>
              <w:left w:val="nil"/>
              <w:bottom w:val="single" w:sz="4" w:space="0" w:color="auto"/>
              <w:right w:val="single" w:sz="4" w:space="0" w:color="auto"/>
            </w:tcBorders>
            <w:shd w:val="clear" w:color="auto" w:fill="CCFFCC"/>
            <w:noWrap/>
            <w:vAlign w:val="bottom"/>
          </w:tcPr>
          <w:p w:rsidR="00387192" w:rsidRPr="00D90E53" w:rsidRDefault="00387192">
            <w:pPr>
              <w:jc w:val="right"/>
              <w:rPr>
                <w:rFonts w:cs="Arial"/>
                <w:b/>
                <w:bCs/>
                <w:color w:val="000000"/>
                <w:sz w:val="20"/>
                <w:szCs w:val="20"/>
              </w:rPr>
            </w:pPr>
            <w:r w:rsidRPr="00D90E53">
              <w:rPr>
                <w:rFonts w:cs="Arial"/>
                <w:b/>
                <w:bCs/>
                <w:color w:val="000000"/>
                <w:sz w:val="20"/>
                <w:szCs w:val="20"/>
              </w:rPr>
              <w:t>0.111</w:t>
            </w:r>
          </w:p>
        </w:tc>
        <w:tc>
          <w:tcPr>
            <w:tcW w:w="1020" w:type="dxa"/>
            <w:tcBorders>
              <w:top w:val="nil"/>
              <w:left w:val="nil"/>
              <w:bottom w:val="single" w:sz="4" w:space="0" w:color="auto"/>
              <w:right w:val="single" w:sz="4" w:space="0" w:color="auto"/>
            </w:tcBorders>
            <w:shd w:val="clear" w:color="auto" w:fill="CCFFCC"/>
            <w:noWrap/>
            <w:vAlign w:val="bottom"/>
          </w:tcPr>
          <w:p w:rsidR="00387192" w:rsidRPr="00D90E53" w:rsidRDefault="00387192">
            <w:pPr>
              <w:jc w:val="right"/>
              <w:rPr>
                <w:rFonts w:cs="Arial"/>
                <w:b/>
                <w:bCs/>
                <w:color w:val="000000"/>
                <w:sz w:val="20"/>
                <w:szCs w:val="20"/>
              </w:rPr>
            </w:pPr>
            <w:r w:rsidRPr="00D90E53">
              <w:rPr>
                <w:rFonts w:cs="Arial"/>
                <w:b/>
                <w:bCs/>
                <w:color w:val="000000"/>
                <w:sz w:val="20"/>
                <w:szCs w:val="20"/>
              </w:rPr>
              <w:t>0.017</w:t>
            </w:r>
          </w:p>
        </w:tc>
      </w:tr>
      <w:tr w:rsidR="00387192" w:rsidRPr="00D90E53">
        <w:trPr>
          <w:trHeight w:val="264"/>
          <w:jc w:val="center"/>
        </w:trPr>
        <w:tc>
          <w:tcPr>
            <w:tcW w:w="2839" w:type="dxa"/>
            <w:tcBorders>
              <w:top w:val="nil"/>
              <w:left w:val="single" w:sz="4" w:space="0" w:color="auto"/>
              <w:bottom w:val="nil"/>
              <w:right w:val="single" w:sz="4" w:space="0" w:color="auto"/>
            </w:tcBorders>
            <w:shd w:val="clear" w:color="auto" w:fill="CCFFCC"/>
            <w:noWrap/>
            <w:vAlign w:val="bottom"/>
          </w:tcPr>
          <w:p w:rsidR="00387192" w:rsidRPr="00D90E53" w:rsidRDefault="00387192">
            <w:pPr>
              <w:rPr>
                <w:rFonts w:cs="Arial"/>
                <w:b/>
                <w:bCs/>
                <w:sz w:val="20"/>
                <w:szCs w:val="20"/>
              </w:rPr>
            </w:pPr>
            <w:r w:rsidRPr="00D90E53">
              <w:rPr>
                <w:rFonts w:cs="Arial"/>
                <w:b/>
                <w:bCs/>
                <w:sz w:val="20"/>
                <w:szCs w:val="20"/>
              </w:rPr>
              <w:t>Net Margin</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6.911</w:t>
            </w:r>
          </w:p>
        </w:tc>
        <w:tc>
          <w:tcPr>
            <w:tcW w:w="1020" w:type="dxa"/>
            <w:tcBorders>
              <w:top w:val="nil"/>
              <w:left w:val="nil"/>
              <w:bottom w:val="nil"/>
              <w:right w:val="single" w:sz="4" w:space="0" w:color="auto"/>
            </w:tcBorders>
            <w:shd w:val="clear" w:color="auto" w:fill="CCFFCC"/>
            <w:noWrap/>
            <w:vAlign w:val="bottom"/>
          </w:tcPr>
          <w:p w:rsidR="00387192" w:rsidRPr="00D90E53" w:rsidRDefault="00387192">
            <w:pPr>
              <w:jc w:val="right"/>
              <w:rPr>
                <w:rFonts w:cs="Arial"/>
                <w:b/>
                <w:bCs/>
                <w:sz w:val="20"/>
                <w:szCs w:val="20"/>
              </w:rPr>
            </w:pPr>
            <w:r w:rsidRPr="00D90E53">
              <w:rPr>
                <w:rFonts w:cs="Arial"/>
                <w:b/>
                <w:bCs/>
                <w:sz w:val="20"/>
                <w:szCs w:val="20"/>
              </w:rPr>
              <w:t>6.997</w:t>
            </w:r>
          </w:p>
        </w:tc>
      </w:tr>
      <w:tr w:rsidR="00387192" w:rsidRPr="00D90E53">
        <w:trPr>
          <w:trHeight w:val="264"/>
          <w:jc w:val="center"/>
        </w:trPr>
        <w:tc>
          <w:tcPr>
            <w:tcW w:w="2839" w:type="dxa"/>
            <w:tcBorders>
              <w:top w:val="single" w:sz="4" w:space="0" w:color="auto"/>
              <w:left w:val="single" w:sz="4" w:space="0" w:color="auto"/>
              <w:bottom w:val="single" w:sz="4" w:space="0" w:color="auto"/>
              <w:right w:val="single" w:sz="4" w:space="0" w:color="auto"/>
            </w:tcBorders>
            <w:shd w:val="clear" w:color="auto" w:fill="339966"/>
            <w:noWrap/>
            <w:vAlign w:val="bottom"/>
          </w:tcPr>
          <w:p w:rsidR="00387192" w:rsidRPr="00D90E53" w:rsidRDefault="00387192">
            <w:pPr>
              <w:rPr>
                <w:rFonts w:cs="Arial"/>
                <w:b/>
                <w:bCs/>
                <w:sz w:val="20"/>
                <w:szCs w:val="20"/>
              </w:rPr>
            </w:pPr>
            <w:r w:rsidRPr="00D90E53">
              <w:rPr>
                <w:rFonts w:cs="Arial"/>
                <w:b/>
                <w:bCs/>
                <w:sz w:val="20"/>
                <w:szCs w:val="20"/>
              </w:rPr>
              <w:t>Total S</w:t>
            </w:r>
            <w:r w:rsidRPr="00D90E53">
              <w:rPr>
                <w:rFonts w:cs="Arial"/>
                <w:b/>
                <w:bCs/>
                <w:sz w:val="20"/>
                <w:szCs w:val="20"/>
                <w:vertAlign w:val="subscript"/>
              </w:rPr>
              <w:t>t</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387192" w:rsidRPr="00D90E53" w:rsidRDefault="00387192">
            <w:pPr>
              <w:jc w:val="right"/>
              <w:rPr>
                <w:rFonts w:cs="Arial"/>
                <w:b/>
                <w:bCs/>
                <w:sz w:val="20"/>
                <w:szCs w:val="20"/>
              </w:rPr>
            </w:pPr>
            <w:r w:rsidRPr="00D90E53">
              <w:rPr>
                <w:rFonts w:cs="Arial"/>
                <w:b/>
                <w:bCs/>
                <w:sz w:val="20"/>
                <w:szCs w:val="20"/>
              </w:rPr>
              <w:t>24.624</w:t>
            </w:r>
          </w:p>
        </w:tc>
        <w:tc>
          <w:tcPr>
            <w:tcW w:w="1020" w:type="dxa"/>
            <w:tcBorders>
              <w:top w:val="single" w:sz="4" w:space="0" w:color="auto"/>
              <w:left w:val="nil"/>
              <w:bottom w:val="single" w:sz="4" w:space="0" w:color="auto"/>
              <w:right w:val="single" w:sz="4" w:space="0" w:color="auto"/>
            </w:tcBorders>
            <w:shd w:val="clear" w:color="auto" w:fill="339966"/>
            <w:noWrap/>
            <w:vAlign w:val="bottom"/>
          </w:tcPr>
          <w:p w:rsidR="00387192" w:rsidRPr="00D90E53" w:rsidRDefault="00387192">
            <w:pPr>
              <w:jc w:val="right"/>
              <w:rPr>
                <w:rFonts w:cs="Arial"/>
                <w:b/>
                <w:bCs/>
                <w:sz w:val="20"/>
                <w:szCs w:val="20"/>
              </w:rPr>
            </w:pPr>
            <w:r w:rsidRPr="00D90E53">
              <w:rPr>
                <w:rFonts w:cs="Arial"/>
                <w:b/>
                <w:bCs/>
                <w:sz w:val="20"/>
                <w:szCs w:val="20"/>
              </w:rPr>
              <w:t>24.998</w:t>
            </w:r>
          </w:p>
        </w:tc>
      </w:tr>
    </w:tbl>
    <w:p w:rsidR="0028000B" w:rsidRPr="00D90E53" w:rsidRDefault="0028000B" w:rsidP="00B41129">
      <w:pPr>
        <w:jc w:val="both"/>
      </w:pPr>
    </w:p>
    <w:p w:rsidR="00854401" w:rsidRPr="00D90E53" w:rsidRDefault="00854401" w:rsidP="00B41129">
      <w:pPr>
        <w:jc w:val="both"/>
      </w:pPr>
    </w:p>
    <w:p w:rsidR="0028000B" w:rsidRPr="00D90E53" w:rsidRDefault="0028000B" w:rsidP="00B41129">
      <w:pPr>
        <w:jc w:val="both"/>
      </w:pPr>
    </w:p>
    <w:p w:rsidR="008465D2" w:rsidRPr="000A7094" w:rsidRDefault="0023575E" w:rsidP="00C30932">
      <w:pPr>
        <w:jc w:val="both"/>
        <w:outlineLvl w:val="0"/>
        <w:rPr>
          <w:b/>
          <w:sz w:val="36"/>
          <w:szCs w:val="36"/>
        </w:rPr>
      </w:pPr>
      <w:bookmarkStart w:id="43" w:name="_Toc184009297"/>
      <w:r w:rsidRPr="000A7094">
        <w:rPr>
          <w:b/>
          <w:sz w:val="36"/>
          <w:szCs w:val="36"/>
        </w:rPr>
        <w:t>Fixed</w:t>
      </w:r>
      <w:r w:rsidR="00F2395B" w:rsidRPr="000A7094">
        <w:rPr>
          <w:b/>
          <w:sz w:val="36"/>
          <w:szCs w:val="36"/>
        </w:rPr>
        <w:t>: Variable Ratio</w:t>
      </w:r>
      <w:bookmarkEnd w:id="43"/>
    </w:p>
    <w:p w:rsidR="00964CD8" w:rsidRPr="00D90E53" w:rsidRDefault="00964CD8" w:rsidP="00B41129">
      <w:pPr>
        <w:jc w:val="both"/>
      </w:pPr>
    </w:p>
    <w:p w:rsidR="00964CD8" w:rsidRPr="000A7094" w:rsidRDefault="00964CD8" w:rsidP="00C30932">
      <w:pPr>
        <w:jc w:val="both"/>
        <w:outlineLvl w:val="0"/>
        <w:rPr>
          <w:b/>
          <w:sz w:val="32"/>
          <w:szCs w:val="32"/>
        </w:rPr>
      </w:pPr>
      <w:bookmarkStart w:id="44" w:name="_Toc184009298"/>
      <w:r w:rsidRPr="000A7094">
        <w:rPr>
          <w:b/>
          <w:sz w:val="32"/>
          <w:szCs w:val="32"/>
        </w:rPr>
        <w:t xml:space="preserve">Utility Regulator </w:t>
      </w:r>
      <w:r w:rsidR="00C3039F" w:rsidRPr="000A7094">
        <w:rPr>
          <w:b/>
          <w:sz w:val="32"/>
          <w:szCs w:val="32"/>
        </w:rPr>
        <w:t>Decision</w:t>
      </w:r>
      <w:bookmarkEnd w:id="44"/>
    </w:p>
    <w:p w:rsidR="00D80C6E" w:rsidRPr="00D90E53" w:rsidRDefault="00D80C6E" w:rsidP="00B41129">
      <w:pPr>
        <w:jc w:val="both"/>
      </w:pPr>
    </w:p>
    <w:p w:rsidR="00854401" w:rsidRPr="00D90E53" w:rsidRDefault="00C3039F" w:rsidP="00B41129">
      <w:pPr>
        <w:jc w:val="both"/>
      </w:pPr>
      <w:r w:rsidRPr="00D90E53">
        <w:t xml:space="preserve">The ratio of fixed to customer variable proportions of the Allowed Revenue </w:t>
      </w:r>
      <w:r w:rsidR="00D90E53" w:rsidRPr="00D90E53">
        <w:t>(</w:t>
      </w:r>
      <w:r w:rsidR="00D90E53" w:rsidRPr="00D90E53">
        <w:rPr>
          <w:rFonts w:cs="Arial"/>
          <w:bCs/>
        </w:rPr>
        <w:t>S</w:t>
      </w:r>
      <w:r w:rsidR="00D90E53" w:rsidRPr="00D90E53">
        <w:rPr>
          <w:rFonts w:cs="Arial"/>
          <w:bCs/>
          <w:vertAlign w:val="subscript"/>
        </w:rPr>
        <w:t>t</w:t>
      </w:r>
      <w:r w:rsidR="00D90E53" w:rsidRPr="00D90E53">
        <w:t xml:space="preserve">) </w:t>
      </w:r>
      <w:r w:rsidRPr="00D90E53">
        <w:t>minus the cost of electricity purchases is currently 62:38.  NIE proposed to change this to 67:33 on the basis of a larger proportion of their costs being fixed and not varying with customer numbers.  The Utility Regulator has accepted this o</w:t>
      </w:r>
      <w:r w:rsidR="00964CD8" w:rsidRPr="00D90E53">
        <w:t xml:space="preserve">n the basis of information </w:t>
      </w:r>
      <w:r w:rsidRPr="00D90E53">
        <w:t xml:space="preserve">and data supplied by NIE Supply.  </w:t>
      </w:r>
      <w:r w:rsidR="00964CD8" w:rsidRPr="00D90E53">
        <w:t xml:space="preserve">The next price control </w:t>
      </w:r>
      <w:r w:rsidR="00D90E53">
        <w:t>review for implementation</w:t>
      </w:r>
      <w:r w:rsidR="00964CD8" w:rsidRPr="00D90E53">
        <w:t xml:space="preserve"> from April 2009 will include a thorough analysis of the nature of NIE Supply’s costs and set an appropriate ratio at that time.</w:t>
      </w:r>
    </w:p>
    <w:p w:rsidR="00854401" w:rsidRPr="00D90E53" w:rsidRDefault="00854401" w:rsidP="00B41129">
      <w:pPr>
        <w:jc w:val="both"/>
      </w:pPr>
    </w:p>
    <w:p w:rsidR="009048FD" w:rsidRPr="00D90E53" w:rsidRDefault="00854401" w:rsidP="00B41129">
      <w:pPr>
        <w:jc w:val="both"/>
      </w:pPr>
      <w:r w:rsidRPr="00D90E53">
        <w:t xml:space="preserve">The total </w:t>
      </w:r>
      <w:r w:rsidR="00D90E53">
        <w:t>A</w:t>
      </w:r>
      <w:r w:rsidRPr="00D90E53">
        <w:t xml:space="preserve">llowed </w:t>
      </w:r>
      <w:r w:rsidR="00D90E53">
        <w:t>R</w:t>
      </w:r>
      <w:r w:rsidRPr="00D90E53">
        <w:t>evenue</w:t>
      </w:r>
      <w:r w:rsidR="00D90E53">
        <w:t xml:space="preserve"> </w:t>
      </w:r>
      <w:r w:rsidR="00D90E53" w:rsidRPr="00D90E53">
        <w:t>(</w:t>
      </w:r>
      <w:r w:rsidR="00D90E53" w:rsidRPr="00D90E53">
        <w:rPr>
          <w:rFonts w:cs="Arial"/>
          <w:bCs/>
        </w:rPr>
        <w:t>S</w:t>
      </w:r>
      <w:r w:rsidR="00D90E53" w:rsidRPr="00D90E53">
        <w:rPr>
          <w:rFonts w:cs="Arial"/>
          <w:bCs/>
          <w:vertAlign w:val="subscript"/>
        </w:rPr>
        <w:t>t</w:t>
      </w:r>
      <w:r w:rsidR="00D90E53" w:rsidRPr="00D90E53">
        <w:t xml:space="preserve">) </w:t>
      </w:r>
      <w:r w:rsidRPr="00D90E53">
        <w:t>figure is then used to calculate the fixed:customer cost ratio amounts:</w:t>
      </w:r>
    </w:p>
    <w:p w:rsidR="00854401" w:rsidRPr="00D90E53" w:rsidRDefault="00854401" w:rsidP="00B41129">
      <w:pPr>
        <w:jc w:val="both"/>
      </w:pPr>
    </w:p>
    <w:p w:rsidR="00854401" w:rsidRPr="00D90E53" w:rsidRDefault="00854401" w:rsidP="00B41129">
      <w:pPr>
        <w:jc w:val="both"/>
      </w:pPr>
      <w:r w:rsidRPr="00D90E53">
        <w:t>Fixed (67%)</w:t>
      </w:r>
      <w:r w:rsidRPr="00D90E53">
        <w:tab/>
      </w:r>
      <w:r w:rsidRPr="00D90E53">
        <w:tab/>
      </w:r>
      <w:r w:rsidRPr="00D90E53">
        <w:tab/>
      </w:r>
      <w:r w:rsidRPr="00D90E53">
        <w:tab/>
        <w:t>£16.624m</w:t>
      </w:r>
    </w:p>
    <w:p w:rsidR="00854401" w:rsidRPr="00D90E53" w:rsidRDefault="00854401" w:rsidP="00B41129">
      <w:pPr>
        <w:jc w:val="both"/>
      </w:pPr>
      <w:r w:rsidRPr="00D90E53">
        <w:t>Customer Variable (33%)</w:t>
      </w:r>
      <w:r w:rsidRPr="00D90E53">
        <w:tab/>
      </w:r>
      <w:r w:rsidRPr="00D90E53">
        <w:tab/>
        <w:t>£ 10.55 per customer</w:t>
      </w:r>
    </w:p>
    <w:p w:rsidR="00345A84" w:rsidRDefault="00345A84" w:rsidP="00B41129">
      <w:pPr>
        <w:jc w:val="both"/>
      </w:pPr>
    </w:p>
    <w:p w:rsidR="00B962B4" w:rsidRDefault="00B962B4" w:rsidP="00B41129">
      <w:pPr>
        <w:jc w:val="both"/>
      </w:pPr>
    </w:p>
    <w:p w:rsidR="00B962B4" w:rsidRPr="00D90E53" w:rsidRDefault="00B962B4" w:rsidP="00B41129">
      <w:pPr>
        <w:jc w:val="both"/>
      </w:pPr>
    </w:p>
    <w:p w:rsidR="0028000B" w:rsidRPr="000A7094" w:rsidRDefault="0028000B" w:rsidP="00C30932">
      <w:pPr>
        <w:jc w:val="both"/>
        <w:outlineLvl w:val="0"/>
        <w:rPr>
          <w:b/>
          <w:sz w:val="36"/>
          <w:szCs w:val="36"/>
        </w:rPr>
      </w:pPr>
      <w:bookmarkStart w:id="45" w:name="_Toc184009299"/>
      <w:r w:rsidRPr="000A7094">
        <w:rPr>
          <w:b/>
          <w:sz w:val="36"/>
          <w:szCs w:val="36"/>
        </w:rPr>
        <w:t>X Factor</w:t>
      </w:r>
      <w:bookmarkEnd w:id="45"/>
      <w:r w:rsidR="0025264C" w:rsidRPr="000A7094">
        <w:rPr>
          <w:b/>
          <w:sz w:val="36"/>
          <w:szCs w:val="36"/>
        </w:rPr>
        <w:fldChar w:fldCharType="begin"/>
      </w:r>
      <w:r w:rsidR="0025264C" w:rsidRPr="000A7094">
        <w:rPr>
          <w:b/>
          <w:sz w:val="36"/>
          <w:szCs w:val="36"/>
        </w:rPr>
        <w:instrText xml:space="preserve"> TC "</w:instrText>
      </w:r>
      <w:bookmarkStart w:id="46" w:name="_Toc181605577"/>
      <w:r w:rsidR="0025264C" w:rsidRPr="000A7094">
        <w:rPr>
          <w:b/>
          <w:sz w:val="36"/>
          <w:szCs w:val="36"/>
        </w:rPr>
        <w:instrText>X Factor</w:instrText>
      </w:r>
      <w:bookmarkEnd w:id="46"/>
      <w:r w:rsidR="0025264C" w:rsidRPr="000A7094">
        <w:rPr>
          <w:b/>
          <w:sz w:val="36"/>
          <w:szCs w:val="36"/>
        </w:rPr>
        <w:instrText xml:space="preserve">" \f C \l "1" </w:instrText>
      </w:r>
      <w:r w:rsidR="0025264C" w:rsidRPr="000A7094">
        <w:rPr>
          <w:b/>
          <w:sz w:val="36"/>
          <w:szCs w:val="36"/>
        </w:rPr>
        <w:fldChar w:fldCharType="end"/>
      </w:r>
    </w:p>
    <w:p w:rsidR="0028000B" w:rsidRPr="00D90E53" w:rsidRDefault="0028000B" w:rsidP="0028000B">
      <w:pPr>
        <w:jc w:val="both"/>
      </w:pPr>
    </w:p>
    <w:p w:rsidR="0028000B" w:rsidRPr="00D90E53" w:rsidRDefault="0028000B" w:rsidP="0028000B">
      <w:r w:rsidRPr="00D90E53">
        <w:t>The X factor is the minimum average rate by which costs must decline after adjusting for inflation.  Downward adjustments arise by either reducing costs and/or increasing productivity.  The choice of X is critical; too low and the firm makes excess profits, too high and the viability of the business is threatened.  An appropriate X factor is one which challenges the firm and promises gains for consumers.</w:t>
      </w:r>
    </w:p>
    <w:p w:rsidR="0028000B" w:rsidRDefault="0028000B" w:rsidP="0028000B">
      <w:pPr>
        <w:ind w:right="1134"/>
        <w:jc w:val="both"/>
      </w:pPr>
    </w:p>
    <w:p w:rsidR="0028000B" w:rsidRPr="000A7094" w:rsidRDefault="0028000B" w:rsidP="00C30932">
      <w:pPr>
        <w:jc w:val="both"/>
        <w:outlineLvl w:val="0"/>
        <w:rPr>
          <w:b/>
          <w:sz w:val="32"/>
          <w:szCs w:val="32"/>
        </w:rPr>
      </w:pPr>
      <w:bookmarkStart w:id="47" w:name="_Toc184009300"/>
      <w:r w:rsidRPr="000A7094">
        <w:rPr>
          <w:b/>
          <w:sz w:val="32"/>
          <w:szCs w:val="32"/>
        </w:rPr>
        <w:t>Utility Regulator Decision</w:t>
      </w:r>
      <w:bookmarkEnd w:id="47"/>
    </w:p>
    <w:p w:rsidR="0028000B" w:rsidRPr="00D90E53" w:rsidRDefault="0028000B" w:rsidP="0028000B">
      <w:pPr>
        <w:ind w:right="94"/>
        <w:jc w:val="both"/>
      </w:pPr>
    </w:p>
    <w:p w:rsidR="00F551C8" w:rsidRDefault="00F551C8" w:rsidP="00F551C8">
      <w:pPr>
        <w:ind w:right="94"/>
        <w:jc w:val="both"/>
      </w:pPr>
      <w:r w:rsidRPr="00D90E53">
        <w:t xml:space="preserve">NIE Supply proposed an X factor of zero, </w:t>
      </w:r>
      <w:r>
        <w:t>stating</w:t>
      </w:r>
      <w:r w:rsidRPr="00D90E53">
        <w:t xml:space="preserve"> ‘operating cost productivity growth </w:t>
      </w:r>
      <w:r>
        <w:t>is unlikely to differ from trend TFP growth and that th</w:t>
      </w:r>
      <w:r w:rsidRPr="00D90E53">
        <w:t>e privatisation effect is ‘likely to be past’ and that ‘any present deviation from trend will be caused by change associated with market opening and the SEM.  These will increase costs.’</w:t>
      </w:r>
      <w:r>
        <w:t xml:space="preserve">  </w:t>
      </w:r>
    </w:p>
    <w:p w:rsidR="00F551C8" w:rsidRDefault="00F551C8" w:rsidP="00F551C8">
      <w:pPr>
        <w:ind w:right="94"/>
        <w:jc w:val="both"/>
      </w:pPr>
    </w:p>
    <w:p w:rsidR="0028000B" w:rsidRDefault="0028000B" w:rsidP="00B41129">
      <w:pPr>
        <w:jc w:val="both"/>
      </w:pPr>
      <w:r w:rsidRPr="00D90E53">
        <w:t>Whilst the Utility Regulator accepts that there will come a time when the business is so efficient that further gains will be difficult, if not impossible to achieve, our analysis suggests that the company has not yet reached this stage however, in the context of new market arrangements affecting the Supply business at the input and output ends of the business, and the uncertainty with regard to costs and savings achievable in the new markets, we have decided to set X at zero for the current and next financial year.  The effect of an X factor of zero will be observed by the Utility Regulator over the next two years and will inform future decisions regarding regulation of the PES business.</w:t>
      </w:r>
    </w:p>
    <w:p w:rsidR="00B962B4" w:rsidRDefault="00B962B4" w:rsidP="00B41129">
      <w:pPr>
        <w:jc w:val="both"/>
      </w:pPr>
    </w:p>
    <w:p w:rsidR="008E2A71" w:rsidRDefault="008E2A71" w:rsidP="00B41129">
      <w:pPr>
        <w:jc w:val="both"/>
      </w:pPr>
    </w:p>
    <w:p w:rsidR="008E2A71" w:rsidRPr="008E2A71" w:rsidRDefault="008E2A71" w:rsidP="00C30932">
      <w:pPr>
        <w:jc w:val="both"/>
        <w:outlineLvl w:val="0"/>
        <w:rPr>
          <w:b/>
          <w:sz w:val="36"/>
          <w:szCs w:val="36"/>
        </w:rPr>
      </w:pPr>
      <w:bookmarkStart w:id="48" w:name="_Toc184009301"/>
      <w:r w:rsidRPr="008E2A71">
        <w:rPr>
          <w:b/>
          <w:sz w:val="36"/>
          <w:szCs w:val="36"/>
        </w:rPr>
        <w:t>Energy Efficiency</w:t>
      </w:r>
      <w:bookmarkEnd w:id="48"/>
    </w:p>
    <w:p w:rsidR="00087FFB" w:rsidRDefault="00087FFB" w:rsidP="00B41129">
      <w:pPr>
        <w:jc w:val="both"/>
      </w:pPr>
    </w:p>
    <w:p w:rsidR="008E2A71" w:rsidRDefault="00347D5C" w:rsidP="00B41129">
      <w:pPr>
        <w:jc w:val="both"/>
      </w:pPr>
      <w:r>
        <w:t xml:space="preserve">Over the period of the price control </w:t>
      </w:r>
      <w:r w:rsidR="00C30932">
        <w:t xml:space="preserve">NIE’s allowed operating costs </w:t>
      </w:r>
      <w:r>
        <w:t xml:space="preserve">have </w:t>
      </w:r>
      <w:r w:rsidR="00C30932">
        <w:t>include</w:t>
      </w:r>
      <w:r>
        <w:t>d</w:t>
      </w:r>
      <w:r w:rsidR="00C30932">
        <w:t xml:space="preserve"> </w:t>
      </w:r>
      <w:r>
        <w:t xml:space="preserve">costs for delivering energy efficiency </w:t>
      </w:r>
      <w:r w:rsidR="00556419">
        <w:t>and sustainable energy obligations</w:t>
      </w:r>
      <w:r>
        <w:t xml:space="preserve"> within the framework of the price control:</w:t>
      </w:r>
    </w:p>
    <w:p w:rsidR="00347D5C" w:rsidRDefault="00347D5C" w:rsidP="00B41129">
      <w:pPr>
        <w:jc w:val="both"/>
      </w:pPr>
    </w:p>
    <w:tbl>
      <w:tblPr>
        <w:tblW w:w="9240" w:type="dxa"/>
        <w:jc w:val="center"/>
        <w:tblInd w:w="98" w:type="dxa"/>
        <w:tblLook w:val="0000"/>
      </w:tblPr>
      <w:tblGrid>
        <w:gridCol w:w="2254"/>
        <w:gridCol w:w="998"/>
        <w:gridCol w:w="998"/>
        <w:gridCol w:w="998"/>
        <w:gridCol w:w="998"/>
        <w:gridCol w:w="998"/>
        <w:gridCol w:w="998"/>
        <w:gridCol w:w="998"/>
      </w:tblGrid>
      <w:tr w:rsidR="0039711F">
        <w:trPr>
          <w:trHeight w:val="288"/>
          <w:jc w:val="center"/>
        </w:trPr>
        <w:tc>
          <w:tcPr>
            <w:tcW w:w="225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rPr>
                <w:rFonts w:cs="Arial"/>
                <w:b/>
                <w:bCs/>
                <w:sz w:val="20"/>
                <w:szCs w:val="20"/>
              </w:rPr>
            </w:pPr>
            <w:r>
              <w:rPr>
                <w:rFonts w:cs="Arial"/>
                <w:b/>
                <w:bCs/>
                <w:sz w:val="20"/>
                <w:szCs w:val="20"/>
              </w:rPr>
              <w:t>Price Control Targets - Energy Efficiency etc</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sz w:val="20"/>
                <w:szCs w:val="20"/>
              </w:rPr>
            </w:pPr>
            <w:r>
              <w:rPr>
                <w:rFonts w:cs="Arial"/>
                <w:b/>
                <w:bCs/>
                <w:sz w:val="20"/>
                <w:szCs w:val="20"/>
              </w:rPr>
              <w:t>2000/01 £m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sz w:val="20"/>
                <w:szCs w:val="20"/>
              </w:rPr>
            </w:pPr>
            <w:r>
              <w:rPr>
                <w:rFonts w:cs="Arial"/>
                <w:b/>
                <w:bCs/>
                <w:sz w:val="20"/>
                <w:szCs w:val="20"/>
              </w:rPr>
              <w:t>2001/02 £m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color w:val="000000"/>
                <w:sz w:val="20"/>
                <w:szCs w:val="20"/>
              </w:rPr>
            </w:pPr>
            <w:r>
              <w:rPr>
                <w:rFonts w:cs="Arial"/>
                <w:b/>
                <w:bCs/>
                <w:color w:val="000000"/>
                <w:sz w:val="20"/>
                <w:szCs w:val="20"/>
              </w:rPr>
              <w:t>2002/03 £m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color w:val="000000"/>
                <w:sz w:val="20"/>
                <w:szCs w:val="20"/>
              </w:rPr>
            </w:pPr>
            <w:r>
              <w:rPr>
                <w:rFonts w:cs="Arial"/>
                <w:b/>
                <w:bCs/>
                <w:color w:val="000000"/>
                <w:sz w:val="20"/>
                <w:szCs w:val="20"/>
              </w:rPr>
              <w:t>2003/04 £m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color w:val="000000"/>
                <w:sz w:val="20"/>
                <w:szCs w:val="20"/>
              </w:rPr>
            </w:pPr>
            <w:r>
              <w:rPr>
                <w:rFonts w:cs="Arial"/>
                <w:b/>
                <w:bCs/>
                <w:color w:val="000000"/>
                <w:sz w:val="20"/>
                <w:szCs w:val="20"/>
              </w:rPr>
              <w:t>2004/05 £m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color w:val="000000"/>
                <w:sz w:val="20"/>
                <w:szCs w:val="20"/>
              </w:rPr>
            </w:pPr>
            <w:r>
              <w:rPr>
                <w:rFonts w:cs="Arial"/>
                <w:b/>
                <w:bCs/>
                <w:color w:val="000000"/>
                <w:sz w:val="20"/>
                <w:szCs w:val="20"/>
              </w:rPr>
              <w:t>2005/06 £m</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9711F" w:rsidRDefault="0039711F">
            <w:pPr>
              <w:jc w:val="center"/>
              <w:rPr>
                <w:rFonts w:cs="Arial"/>
                <w:b/>
                <w:bCs/>
                <w:color w:val="000000"/>
                <w:sz w:val="20"/>
                <w:szCs w:val="20"/>
              </w:rPr>
            </w:pPr>
            <w:r>
              <w:rPr>
                <w:rFonts w:cs="Arial"/>
                <w:b/>
                <w:bCs/>
                <w:color w:val="000000"/>
                <w:sz w:val="20"/>
                <w:szCs w:val="20"/>
              </w:rPr>
              <w:t>2006/07 £m</w:t>
            </w:r>
          </w:p>
        </w:tc>
      </w:tr>
      <w:tr w:rsidR="0039711F">
        <w:trPr>
          <w:trHeight w:val="288"/>
          <w:jc w:val="center"/>
        </w:trPr>
        <w:tc>
          <w:tcPr>
            <w:tcW w:w="2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color w:val="000000"/>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color w:val="000000"/>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color w:val="000000"/>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color w:val="000000"/>
                <w:sz w:val="20"/>
                <w:szCs w:val="20"/>
              </w:rPr>
            </w:pPr>
          </w:p>
        </w:tc>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711F" w:rsidRDefault="0039711F">
            <w:pPr>
              <w:rPr>
                <w:rFonts w:cs="Arial"/>
                <w:b/>
                <w:bCs/>
                <w:color w:val="000000"/>
                <w:sz w:val="20"/>
                <w:szCs w:val="20"/>
              </w:rPr>
            </w:pPr>
          </w:p>
        </w:tc>
      </w:tr>
      <w:tr w:rsidR="0039711F">
        <w:trPr>
          <w:trHeight w:val="288"/>
          <w:jc w:val="center"/>
        </w:trPr>
        <w:tc>
          <w:tcPr>
            <w:tcW w:w="22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711F" w:rsidRDefault="0039711F">
            <w:pPr>
              <w:rPr>
                <w:rFonts w:cs="Arial"/>
                <w:b/>
                <w:bCs/>
                <w:sz w:val="20"/>
                <w:szCs w:val="20"/>
              </w:rPr>
            </w:pPr>
            <w:r>
              <w:rPr>
                <w:rFonts w:cs="Arial"/>
                <w:b/>
                <w:bCs/>
                <w:sz w:val="20"/>
                <w:szCs w:val="20"/>
              </w:rPr>
              <w:t>2006/07 Prices</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0.268</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0.170</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0.142</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0.219</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0.439</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0.259</w:t>
            </w:r>
          </w:p>
        </w:tc>
        <w:tc>
          <w:tcPr>
            <w:tcW w:w="998" w:type="dxa"/>
            <w:tcBorders>
              <w:top w:val="single" w:sz="4" w:space="0" w:color="auto"/>
              <w:left w:val="nil"/>
              <w:bottom w:val="single" w:sz="4" w:space="0" w:color="auto"/>
              <w:right w:val="single" w:sz="4" w:space="0" w:color="auto"/>
            </w:tcBorders>
            <w:shd w:val="clear" w:color="auto" w:fill="CCFFCC"/>
            <w:noWrap/>
            <w:vAlign w:val="bottom"/>
          </w:tcPr>
          <w:p w:rsidR="0039711F" w:rsidRDefault="0039711F">
            <w:pPr>
              <w:jc w:val="right"/>
              <w:rPr>
                <w:rFonts w:cs="Arial"/>
                <w:b/>
                <w:bCs/>
                <w:sz w:val="20"/>
                <w:szCs w:val="20"/>
              </w:rPr>
            </w:pPr>
            <w:r>
              <w:rPr>
                <w:rFonts w:cs="Arial"/>
                <w:b/>
                <w:bCs/>
                <w:sz w:val="20"/>
                <w:szCs w:val="20"/>
              </w:rPr>
              <w:t>0.355</w:t>
            </w:r>
          </w:p>
        </w:tc>
      </w:tr>
    </w:tbl>
    <w:p w:rsidR="00347D5C" w:rsidRDefault="00347D5C" w:rsidP="00B41129">
      <w:pPr>
        <w:jc w:val="both"/>
      </w:pPr>
    </w:p>
    <w:p w:rsidR="00556419" w:rsidRDefault="00556419" w:rsidP="00B41129">
      <w:pPr>
        <w:jc w:val="both"/>
      </w:pPr>
      <w:r>
        <w:t>The target of £2 million customer lifetime savings per annum was originally set in 2000; this was subsequently increased to £3million customer lifetime savings per annum.  To date NIE Supply has been active in promoting renewable energy, including the eco-tariff, micro-generation and other energy efficiency initiatives such as energy saving bulb promotions, condensing boiler initiatives and insulation cash back schemes.</w:t>
      </w:r>
    </w:p>
    <w:p w:rsidR="00556419" w:rsidRDefault="00556419" w:rsidP="00B41129">
      <w:pPr>
        <w:jc w:val="both"/>
      </w:pPr>
    </w:p>
    <w:p w:rsidR="00B962B4" w:rsidRDefault="00556419" w:rsidP="00B41129">
      <w:pPr>
        <w:jc w:val="both"/>
      </w:pPr>
      <w:r>
        <w:t>The Utility Regulator has carried out a short review of the appropriateness of the obligations going forward and has agreed with NIE Supply that the energy efficiency and sustainable energy obligations of the Supply business will remain the same for the duration of this price control i.e. £3 million customer lifetime savings each year until 2009.  A more comprehensive review of these obligations will be carried out in 2009 when the price control will also be reviewed comprehensively.  Accordingly, the following has been approved (within operating costs) to enable NIE Supply to meet the targets:</w:t>
      </w:r>
    </w:p>
    <w:p w:rsidR="00556419" w:rsidRDefault="00556419" w:rsidP="00B41129">
      <w:pPr>
        <w:jc w:val="both"/>
      </w:pPr>
    </w:p>
    <w:tbl>
      <w:tblPr>
        <w:tblW w:w="6320" w:type="dxa"/>
        <w:jc w:val="center"/>
        <w:tblInd w:w="98" w:type="dxa"/>
        <w:tblLook w:val="0000"/>
      </w:tblPr>
      <w:tblGrid>
        <w:gridCol w:w="4400"/>
        <w:gridCol w:w="998"/>
        <w:gridCol w:w="998"/>
      </w:tblGrid>
      <w:tr w:rsidR="00556419" w:rsidRPr="00556419">
        <w:trPr>
          <w:trHeight w:val="288"/>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56419" w:rsidRPr="00556419" w:rsidRDefault="00556419" w:rsidP="00556419">
            <w:pPr>
              <w:rPr>
                <w:rFonts w:cs="Arial"/>
                <w:b/>
                <w:bCs/>
                <w:sz w:val="20"/>
                <w:szCs w:val="20"/>
                <w:lang w:val="en-US"/>
              </w:rPr>
            </w:pPr>
            <w:r w:rsidRPr="00556419">
              <w:rPr>
                <w:rFonts w:cs="Arial"/>
                <w:b/>
                <w:bCs/>
                <w:sz w:val="20"/>
                <w:szCs w:val="20"/>
                <w:lang w:val="en-US"/>
              </w:rPr>
              <w:t>Price Control Targets - Energy Efficiency etc</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56419" w:rsidRPr="00556419" w:rsidRDefault="00556419" w:rsidP="00556419">
            <w:pPr>
              <w:jc w:val="center"/>
              <w:rPr>
                <w:rFonts w:cs="Arial"/>
                <w:b/>
                <w:bCs/>
                <w:color w:val="000000"/>
                <w:sz w:val="20"/>
                <w:szCs w:val="20"/>
                <w:lang w:val="en-US"/>
              </w:rPr>
            </w:pPr>
            <w:r w:rsidRPr="00556419">
              <w:rPr>
                <w:rFonts w:cs="Arial"/>
                <w:b/>
                <w:bCs/>
                <w:color w:val="000000"/>
                <w:sz w:val="20"/>
                <w:szCs w:val="20"/>
                <w:lang w:val="en-US"/>
              </w:rPr>
              <w:t>2007/08 £m</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56419" w:rsidRPr="00556419" w:rsidRDefault="00556419" w:rsidP="00556419">
            <w:pPr>
              <w:jc w:val="center"/>
              <w:rPr>
                <w:rFonts w:cs="Arial"/>
                <w:b/>
                <w:bCs/>
                <w:color w:val="000000"/>
                <w:sz w:val="20"/>
                <w:szCs w:val="20"/>
                <w:lang w:val="en-US"/>
              </w:rPr>
            </w:pPr>
            <w:r w:rsidRPr="00556419">
              <w:rPr>
                <w:rFonts w:cs="Arial"/>
                <w:b/>
                <w:bCs/>
                <w:color w:val="000000"/>
                <w:sz w:val="20"/>
                <w:szCs w:val="20"/>
                <w:lang w:val="en-US"/>
              </w:rPr>
              <w:t>2008/09 £m</w:t>
            </w:r>
          </w:p>
        </w:tc>
      </w:tr>
      <w:tr w:rsidR="00556419" w:rsidRPr="00556419">
        <w:trPr>
          <w:trHeight w:val="288"/>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56419" w:rsidRPr="00556419" w:rsidRDefault="00556419" w:rsidP="00556419">
            <w:pPr>
              <w:rPr>
                <w:rFonts w:cs="Arial"/>
                <w:b/>
                <w:bCs/>
                <w:sz w:val="20"/>
                <w:szCs w:val="20"/>
                <w:lang w:val="en-US"/>
              </w:rPr>
            </w:pP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56419" w:rsidRPr="00556419" w:rsidRDefault="00556419" w:rsidP="00556419">
            <w:pPr>
              <w:rPr>
                <w:rFonts w:cs="Arial"/>
                <w:b/>
                <w:bCs/>
                <w:color w:val="000000"/>
                <w:sz w:val="20"/>
                <w:szCs w:val="20"/>
                <w:lang w:val="en-US"/>
              </w:rPr>
            </w:pP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56419" w:rsidRPr="00556419" w:rsidRDefault="00556419" w:rsidP="00556419">
            <w:pPr>
              <w:rPr>
                <w:rFonts w:cs="Arial"/>
                <w:b/>
                <w:bCs/>
                <w:color w:val="000000"/>
                <w:sz w:val="20"/>
                <w:szCs w:val="20"/>
                <w:lang w:val="en-US"/>
              </w:rPr>
            </w:pPr>
          </w:p>
        </w:tc>
      </w:tr>
      <w:tr w:rsidR="00556419" w:rsidRPr="00556419">
        <w:trPr>
          <w:trHeight w:val="288"/>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19" w:rsidRPr="00556419" w:rsidRDefault="00556419" w:rsidP="00556419">
            <w:pPr>
              <w:rPr>
                <w:rFonts w:cs="Arial"/>
                <w:b/>
                <w:bCs/>
                <w:sz w:val="20"/>
                <w:szCs w:val="20"/>
                <w:lang w:val="en-US"/>
              </w:rPr>
            </w:pPr>
            <w:r w:rsidRPr="00556419">
              <w:rPr>
                <w:rFonts w:cs="Arial"/>
                <w:b/>
                <w:bCs/>
                <w:sz w:val="20"/>
                <w:szCs w:val="20"/>
                <w:lang w:val="en-US"/>
              </w:rPr>
              <w:t>2006/07 Prices</w:t>
            </w:r>
          </w:p>
        </w:tc>
        <w:tc>
          <w:tcPr>
            <w:tcW w:w="960" w:type="dxa"/>
            <w:tcBorders>
              <w:top w:val="single" w:sz="4" w:space="0" w:color="auto"/>
              <w:left w:val="nil"/>
              <w:bottom w:val="single" w:sz="4" w:space="0" w:color="auto"/>
              <w:right w:val="single" w:sz="4" w:space="0" w:color="auto"/>
            </w:tcBorders>
            <w:shd w:val="clear" w:color="auto" w:fill="339966"/>
            <w:noWrap/>
            <w:vAlign w:val="bottom"/>
          </w:tcPr>
          <w:p w:rsidR="00556419" w:rsidRPr="00556419" w:rsidRDefault="00556419" w:rsidP="00556419">
            <w:pPr>
              <w:jc w:val="right"/>
              <w:rPr>
                <w:rFonts w:cs="Arial"/>
                <w:b/>
                <w:bCs/>
                <w:sz w:val="20"/>
                <w:szCs w:val="20"/>
                <w:lang w:val="en-US"/>
              </w:rPr>
            </w:pPr>
            <w:r w:rsidRPr="00556419">
              <w:rPr>
                <w:rFonts w:cs="Arial"/>
                <w:b/>
                <w:bCs/>
                <w:sz w:val="20"/>
                <w:szCs w:val="20"/>
                <w:lang w:val="en-US"/>
              </w:rPr>
              <w:t>0.293</w:t>
            </w:r>
          </w:p>
        </w:tc>
        <w:tc>
          <w:tcPr>
            <w:tcW w:w="960" w:type="dxa"/>
            <w:tcBorders>
              <w:top w:val="single" w:sz="4" w:space="0" w:color="auto"/>
              <w:left w:val="nil"/>
              <w:bottom w:val="single" w:sz="4" w:space="0" w:color="auto"/>
              <w:right w:val="single" w:sz="4" w:space="0" w:color="auto"/>
            </w:tcBorders>
            <w:shd w:val="clear" w:color="auto" w:fill="339966"/>
            <w:noWrap/>
            <w:vAlign w:val="bottom"/>
          </w:tcPr>
          <w:p w:rsidR="00556419" w:rsidRPr="00556419" w:rsidRDefault="00556419" w:rsidP="00556419">
            <w:pPr>
              <w:jc w:val="right"/>
              <w:rPr>
                <w:rFonts w:cs="Arial"/>
                <w:b/>
                <w:bCs/>
                <w:sz w:val="20"/>
                <w:szCs w:val="20"/>
                <w:lang w:val="en-US"/>
              </w:rPr>
            </w:pPr>
            <w:r w:rsidRPr="00556419">
              <w:rPr>
                <w:rFonts w:cs="Arial"/>
                <w:b/>
                <w:bCs/>
                <w:sz w:val="20"/>
                <w:szCs w:val="20"/>
                <w:lang w:val="en-US"/>
              </w:rPr>
              <w:t>0.286</w:t>
            </w:r>
          </w:p>
        </w:tc>
      </w:tr>
    </w:tbl>
    <w:p w:rsidR="00556419" w:rsidRDefault="00556419" w:rsidP="00B41129">
      <w:pPr>
        <w:jc w:val="both"/>
      </w:pPr>
    </w:p>
    <w:p w:rsidR="00C20B38" w:rsidRDefault="00C20B38" w:rsidP="00B41129">
      <w:pPr>
        <w:jc w:val="both"/>
      </w:pPr>
    </w:p>
    <w:p w:rsidR="00B962B4" w:rsidRDefault="00B962B4" w:rsidP="00B41129">
      <w:pPr>
        <w:jc w:val="both"/>
      </w:pPr>
    </w:p>
    <w:p w:rsidR="00B962B4" w:rsidRDefault="00B962B4"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556419" w:rsidRDefault="00556419" w:rsidP="00B41129">
      <w:pPr>
        <w:jc w:val="both"/>
      </w:pPr>
    </w:p>
    <w:p w:rsidR="00B504A5" w:rsidRDefault="00B504A5" w:rsidP="00B41129">
      <w:pPr>
        <w:jc w:val="both"/>
      </w:pPr>
    </w:p>
    <w:p w:rsidR="00087FFB" w:rsidRDefault="00087FFB" w:rsidP="00B41129">
      <w:pPr>
        <w:jc w:val="both"/>
      </w:pPr>
    </w:p>
    <w:p w:rsidR="00556419" w:rsidRDefault="00556419" w:rsidP="00B41129">
      <w:pPr>
        <w:jc w:val="both"/>
      </w:pPr>
    </w:p>
    <w:p w:rsidR="00B962B4" w:rsidRPr="00556419" w:rsidRDefault="00556419" w:rsidP="00B41129">
      <w:pPr>
        <w:jc w:val="both"/>
        <w:rPr>
          <w:b/>
          <w:sz w:val="28"/>
          <w:szCs w:val="28"/>
        </w:rPr>
      </w:pPr>
      <w:r w:rsidRPr="00556419">
        <w:rPr>
          <w:b/>
          <w:sz w:val="28"/>
          <w:szCs w:val="28"/>
        </w:rPr>
        <w:t>Endnotes</w:t>
      </w:r>
    </w:p>
    <w:sectPr w:rsidR="00B962B4" w:rsidRPr="00556419" w:rsidSect="009676D8">
      <w:footerReference w:type="default" r:id="rId8"/>
      <w:footnotePr>
        <w:pos w:val="beneathText"/>
      </w:footnotePr>
      <w:endnotePr>
        <w:numFmt w:val="decimal"/>
      </w:endnotePr>
      <w:type w:val="continuous"/>
      <w:pgSz w:w="11906" w:h="16838"/>
      <w:pgMar w:top="1440" w:right="1418"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3276">
      <w:r>
        <w:separator/>
      </w:r>
    </w:p>
  </w:endnote>
  <w:endnote w:type="continuationSeparator" w:id="0">
    <w:p w:rsidR="00000000" w:rsidRDefault="00F93276">
      <w:r>
        <w:continuationSeparator/>
      </w:r>
    </w:p>
  </w:endnote>
  <w:endnote w:id="1">
    <w:p w:rsidR="00B157FB" w:rsidRPr="00D90E53" w:rsidRDefault="00B157FB">
      <w:pPr>
        <w:pStyle w:val="EndnoteText"/>
        <w:rPr>
          <w:sz w:val="16"/>
          <w:szCs w:val="16"/>
        </w:rPr>
      </w:pPr>
      <w:r w:rsidRPr="00D90E53">
        <w:rPr>
          <w:rStyle w:val="EndnoteReference"/>
          <w:sz w:val="16"/>
          <w:szCs w:val="16"/>
        </w:rPr>
        <w:endnoteRef/>
      </w:r>
      <w:r w:rsidRPr="00D90E53">
        <w:rPr>
          <w:sz w:val="16"/>
          <w:szCs w:val="16"/>
        </w:rPr>
        <w:t xml:space="preserve"> Taken from ‘The Northern Ireland Energy Efficiency Levy – A Review’; the Utility Regulator; March 2006 available at </w:t>
      </w:r>
      <w:hyperlink r:id="rId1" w:history="1">
        <w:r w:rsidRPr="00D90E53">
          <w:rPr>
            <w:rStyle w:val="Hyperlink"/>
            <w:sz w:val="16"/>
            <w:szCs w:val="16"/>
          </w:rPr>
          <w:t>http://ofreg.nics.gov.uk/pdf%20files/The%20Energy%20Efficiency%20Levy%20Programme%20-Review.doc</w:t>
        </w:r>
      </w:hyperlink>
    </w:p>
    <w:p w:rsidR="00B157FB" w:rsidRPr="00D90E53" w:rsidRDefault="00B157FB">
      <w:pPr>
        <w:pStyle w:val="EndnoteText"/>
        <w:rPr>
          <w:sz w:val="16"/>
          <w:szCs w:val="16"/>
        </w:rPr>
      </w:pPr>
    </w:p>
  </w:endnote>
  <w:endnote w:id="2">
    <w:p w:rsidR="00B157FB" w:rsidRPr="00C40E77" w:rsidRDefault="00B157FB" w:rsidP="00D90E53">
      <w:pPr>
        <w:pStyle w:val="EndnoteText"/>
        <w:rPr>
          <w:rFonts w:cs="Arial"/>
          <w:bCs/>
          <w:sz w:val="16"/>
          <w:szCs w:val="16"/>
        </w:rPr>
      </w:pPr>
      <w:r w:rsidRPr="00D90E53">
        <w:rPr>
          <w:rStyle w:val="EndnoteReference"/>
          <w:sz w:val="16"/>
          <w:szCs w:val="16"/>
        </w:rPr>
        <w:endnoteRef/>
      </w:r>
      <w:r w:rsidRPr="00D90E53">
        <w:rPr>
          <w:sz w:val="16"/>
          <w:szCs w:val="16"/>
        </w:rPr>
        <w:t xml:space="preserve"> CER/NIAUR:  </w:t>
      </w:r>
      <w:r w:rsidRPr="00D90E53">
        <w:rPr>
          <w:rFonts w:cs="Arial"/>
          <w:bCs/>
          <w:i/>
          <w:sz w:val="16"/>
          <w:szCs w:val="16"/>
          <w:lang w:val="en-US"/>
        </w:rPr>
        <w:t>Regulation of ESB and NIE in SEM: A Decision Paper</w:t>
      </w:r>
      <w:r w:rsidRPr="00D90E53">
        <w:rPr>
          <w:rFonts w:cs="Arial"/>
          <w:bCs/>
          <w:sz w:val="16"/>
          <w:szCs w:val="16"/>
          <w:lang w:val="en-US"/>
        </w:rPr>
        <w:t xml:space="preserve"> (AIP-SEM-07-304_SEM_Regulation_Decision[1].pdf) available at </w:t>
      </w:r>
      <w:hyperlink r:id="rId2" w:history="1">
        <w:r w:rsidR="00C40E77" w:rsidRPr="00C66818">
          <w:rPr>
            <w:rStyle w:val="Hyperlink"/>
            <w:rFonts w:cs="Arial"/>
            <w:bCs/>
            <w:sz w:val="16"/>
            <w:szCs w:val="16"/>
            <w:lang w:val="en-US"/>
          </w:rPr>
          <w:t>http://www.allislandproject.org/en/generation.aspx?article=4ad994c7-e273-485d-a30f-c658a34e90f7</w:t>
        </w:r>
      </w:hyperlink>
      <w:r w:rsidR="00C40E77">
        <w:rPr>
          <w:rFonts w:cs="Arial"/>
          <w:bCs/>
          <w:sz w:val="16"/>
          <w:szCs w:val="16"/>
        </w:rPr>
        <w:t xml:space="preserve"> </w:t>
      </w:r>
    </w:p>
    <w:p w:rsidR="00B157FB" w:rsidRPr="00D90E53" w:rsidRDefault="00B157FB">
      <w:pPr>
        <w:pStyle w:val="EndnoteText"/>
        <w:rPr>
          <w:sz w:val="16"/>
          <w:szCs w:val="16"/>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FB" w:rsidRPr="00E07B09" w:rsidRDefault="00B157FB" w:rsidP="008640BB">
    <w:pPr>
      <w:pStyle w:val="Footer"/>
      <w:jc w:val="center"/>
      <w:rPr>
        <w:sz w:val="12"/>
        <w:szCs w:val="12"/>
      </w:rPr>
    </w:pPr>
    <w:r>
      <w:t xml:space="preserve">Page </w:t>
    </w:r>
    <w:fldSimple w:instr=" PAGE ">
      <w:r w:rsidR="00F93276">
        <w:rPr>
          <w:noProof/>
        </w:rPr>
        <w:t>2</w:t>
      </w:r>
    </w:fldSimple>
    <w:r>
      <w:t xml:space="preserve"> of </w:t>
    </w:r>
    <w:fldSimple w:instr=" NUMPAGES ">
      <w:r w:rsidR="00F93276">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3276">
      <w:r>
        <w:separator/>
      </w:r>
    </w:p>
  </w:footnote>
  <w:footnote w:type="continuationSeparator" w:id="0">
    <w:p w:rsidR="00000000" w:rsidRDefault="00F93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0pt" o:bullet="t">
        <v:imagedata r:id="rId1" o:title="Utility Regulator LOGO"/>
      </v:shape>
    </w:pict>
  </w:numPicBullet>
  <w:abstractNum w:abstractNumId="0">
    <w:nsid w:val="FFFFFFFE"/>
    <w:multiLevelType w:val="singleLevel"/>
    <w:tmpl w:val="56B6E61A"/>
    <w:lvl w:ilvl="0">
      <w:numFmt w:val="decimal"/>
      <w:pStyle w:val="ListBullet"/>
      <w:lvlText w:val="*"/>
      <w:lvlJc w:val="left"/>
    </w:lvl>
  </w:abstractNum>
  <w:abstractNum w:abstractNumId="1">
    <w:nsid w:val="01B369A6"/>
    <w:multiLevelType w:val="hybridMultilevel"/>
    <w:tmpl w:val="89AC1E32"/>
    <w:lvl w:ilvl="0" w:tplc="469C6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F10F4"/>
    <w:multiLevelType w:val="hybridMultilevel"/>
    <w:tmpl w:val="3F4EE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B808D4"/>
    <w:multiLevelType w:val="multilevel"/>
    <w:tmpl w:val="EA1AA60E"/>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41FD3D15"/>
    <w:multiLevelType w:val="hybridMultilevel"/>
    <w:tmpl w:val="0750C3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642663"/>
    <w:multiLevelType w:val="hybridMultilevel"/>
    <w:tmpl w:val="BC1ABBA8"/>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5622A49"/>
    <w:multiLevelType w:val="hybridMultilevel"/>
    <w:tmpl w:val="EA1AA60E"/>
    <w:lvl w:ilvl="0" w:tplc="469C616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99D0CD5"/>
    <w:multiLevelType w:val="hybridMultilevel"/>
    <w:tmpl w:val="06E4AA3E"/>
    <w:lvl w:ilvl="0" w:tplc="469C616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565398"/>
    <w:multiLevelType w:val="hybridMultilevel"/>
    <w:tmpl w:val="6CBE5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C97111F"/>
    <w:multiLevelType w:val="hybridMultilevel"/>
    <w:tmpl w:val="FB7A1A40"/>
    <w:lvl w:ilvl="0" w:tplc="469C616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6"/>
  </w:num>
  <w:num w:numId="6">
    <w:abstractNumId w:val="3"/>
  </w:num>
  <w:num w:numId="7">
    <w:abstractNumId w:val="5"/>
  </w:num>
  <w:num w:numId="8">
    <w:abstractNumId w:val="4"/>
  </w:num>
  <w:num w:numId="9">
    <w:abstractNumId w:val="1"/>
  </w:num>
  <w:num w:numId="10">
    <w:abstractNumId w:val="0"/>
    <w:lvlOverride w:ilvl="0">
      <w:lvl w:ilvl="0">
        <w:start w:val="1"/>
        <w:numFmt w:val="bullet"/>
        <w:pStyle w:val="ListBullet"/>
        <w:lvlText w:val=""/>
        <w:lvlJc w:val="left"/>
        <w:pPr>
          <w:tabs>
            <w:tab w:val="num" w:pos="0"/>
          </w:tabs>
          <w:ind w:left="0" w:firstLine="0"/>
        </w:pPr>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87"/>
  <w:displayVerticalDrawingGridEvery w:val="2"/>
  <w:noPunctuationKerning/>
  <w:characterSpacingControl w:val="doNotCompress"/>
  <w:hdrShapeDefaults>
    <o:shapedefaults v:ext="edit" spidmax="3074">
      <o:colormenu v:ext="edit" fillcolor="none"/>
    </o:shapedefaults>
  </w:hdrShapeDefaults>
  <w:footnotePr>
    <w:pos w:val="beneathText"/>
    <w:footnote w:id="-1"/>
    <w:footnote w:id="0"/>
  </w:footnotePr>
  <w:endnotePr>
    <w:numFmt w:val="decimal"/>
    <w:endnote w:id="-1"/>
    <w:endnote w:id="0"/>
  </w:endnotePr>
  <w:compat/>
  <w:rsids>
    <w:rsidRoot w:val="00091501"/>
    <w:rsid w:val="00040210"/>
    <w:rsid w:val="0004061C"/>
    <w:rsid w:val="000749A6"/>
    <w:rsid w:val="00087FFB"/>
    <w:rsid w:val="00090526"/>
    <w:rsid w:val="00091501"/>
    <w:rsid w:val="000A08AB"/>
    <w:rsid w:val="000A7094"/>
    <w:rsid w:val="000B32C0"/>
    <w:rsid w:val="000B4AA4"/>
    <w:rsid w:val="000C17E7"/>
    <w:rsid w:val="000C49B8"/>
    <w:rsid w:val="0011461D"/>
    <w:rsid w:val="00162C84"/>
    <w:rsid w:val="00163A58"/>
    <w:rsid w:val="0018013D"/>
    <w:rsid w:val="001C423F"/>
    <w:rsid w:val="001D741B"/>
    <w:rsid w:val="001E2F77"/>
    <w:rsid w:val="001E7370"/>
    <w:rsid w:val="00213EC0"/>
    <w:rsid w:val="0023575E"/>
    <w:rsid w:val="002440A5"/>
    <w:rsid w:val="0025264C"/>
    <w:rsid w:val="00262453"/>
    <w:rsid w:val="00264B69"/>
    <w:rsid w:val="0027046C"/>
    <w:rsid w:val="00271A1A"/>
    <w:rsid w:val="00277455"/>
    <w:rsid w:val="0028000B"/>
    <w:rsid w:val="002C434D"/>
    <w:rsid w:val="002E2B4B"/>
    <w:rsid w:val="002E5D9F"/>
    <w:rsid w:val="002E6516"/>
    <w:rsid w:val="002E7CAE"/>
    <w:rsid w:val="003103D7"/>
    <w:rsid w:val="0031789E"/>
    <w:rsid w:val="00345A84"/>
    <w:rsid w:val="00347D5C"/>
    <w:rsid w:val="003578BA"/>
    <w:rsid w:val="003714D0"/>
    <w:rsid w:val="00374247"/>
    <w:rsid w:val="00374D44"/>
    <w:rsid w:val="00385431"/>
    <w:rsid w:val="00385F06"/>
    <w:rsid w:val="00387192"/>
    <w:rsid w:val="0039711F"/>
    <w:rsid w:val="003E5F9C"/>
    <w:rsid w:val="004123C6"/>
    <w:rsid w:val="00453214"/>
    <w:rsid w:val="00483AE8"/>
    <w:rsid w:val="00496709"/>
    <w:rsid w:val="004A4D4A"/>
    <w:rsid w:val="004D0B77"/>
    <w:rsid w:val="004D56B6"/>
    <w:rsid w:val="004F57AA"/>
    <w:rsid w:val="00534783"/>
    <w:rsid w:val="00534BA0"/>
    <w:rsid w:val="00536E74"/>
    <w:rsid w:val="00556419"/>
    <w:rsid w:val="00556E47"/>
    <w:rsid w:val="00560694"/>
    <w:rsid w:val="005768D8"/>
    <w:rsid w:val="0059545C"/>
    <w:rsid w:val="005A1E32"/>
    <w:rsid w:val="005A216A"/>
    <w:rsid w:val="005A7CBE"/>
    <w:rsid w:val="005B15FC"/>
    <w:rsid w:val="005B2D66"/>
    <w:rsid w:val="00612AAB"/>
    <w:rsid w:val="00615E74"/>
    <w:rsid w:val="00627097"/>
    <w:rsid w:val="00645B4A"/>
    <w:rsid w:val="006472EA"/>
    <w:rsid w:val="006833FA"/>
    <w:rsid w:val="006948CC"/>
    <w:rsid w:val="006A4116"/>
    <w:rsid w:val="006C60C5"/>
    <w:rsid w:val="006C719D"/>
    <w:rsid w:val="006D64B5"/>
    <w:rsid w:val="006E3BA4"/>
    <w:rsid w:val="007052B0"/>
    <w:rsid w:val="00714E52"/>
    <w:rsid w:val="00725AEE"/>
    <w:rsid w:val="00725FF1"/>
    <w:rsid w:val="0074759F"/>
    <w:rsid w:val="0075125E"/>
    <w:rsid w:val="007516ED"/>
    <w:rsid w:val="00752413"/>
    <w:rsid w:val="00752E7A"/>
    <w:rsid w:val="00762744"/>
    <w:rsid w:val="00784CD9"/>
    <w:rsid w:val="007905C7"/>
    <w:rsid w:val="0079689B"/>
    <w:rsid w:val="007F0B16"/>
    <w:rsid w:val="0081579E"/>
    <w:rsid w:val="008465D2"/>
    <w:rsid w:val="00854401"/>
    <w:rsid w:val="008640BB"/>
    <w:rsid w:val="008749ED"/>
    <w:rsid w:val="008C1354"/>
    <w:rsid w:val="008E2A71"/>
    <w:rsid w:val="008F4D52"/>
    <w:rsid w:val="009048FD"/>
    <w:rsid w:val="00950AC1"/>
    <w:rsid w:val="009517C7"/>
    <w:rsid w:val="00954BB9"/>
    <w:rsid w:val="00964CD8"/>
    <w:rsid w:val="009676D8"/>
    <w:rsid w:val="0097176E"/>
    <w:rsid w:val="00971F24"/>
    <w:rsid w:val="00977F8F"/>
    <w:rsid w:val="00997096"/>
    <w:rsid w:val="009D26CA"/>
    <w:rsid w:val="009E7942"/>
    <w:rsid w:val="00A03807"/>
    <w:rsid w:val="00A20251"/>
    <w:rsid w:val="00A23CAE"/>
    <w:rsid w:val="00A24860"/>
    <w:rsid w:val="00A24B92"/>
    <w:rsid w:val="00A41E8A"/>
    <w:rsid w:val="00A93691"/>
    <w:rsid w:val="00AA09B9"/>
    <w:rsid w:val="00B02599"/>
    <w:rsid w:val="00B07480"/>
    <w:rsid w:val="00B13C22"/>
    <w:rsid w:val="00B157FB"/>
    <w:rsid w:val="00B41129"/>
    <w:rsid w:val="00B504A5"/>
    <w:rsid w:val="00B50FB2"/>
    <w:rsid w:val="00B742FB"/>
    <w:rsid w:val="00B962B4"/>
    <w:rsid w:val="00BA2043"/>
    <w:rsid w:val="00BA299D"/>
    <w:rsid w:val="00BF6038"/>
    <w:rsid w:val="00C0314A"/>
    <w:rsid w:val="00C11950"/>
    <w:rsid w:val="00C129AA"/>
    <w:rsid w:val="00C20B38"/>
    <w:rsid w:val="00C3039F"/>
    <w:rsid w:val="00C30932"/>
    <w:rsid w:val="00C40E77"/>
    <w:rsid w:val="00CA7228"/>
    <w:rsid w:val="00CD33C9"/>
    <w:rsid w:val="00CD62D9"/>
    <w:rsid w:val="00CD7106"/>
    <w:rsid w:val="00CE1AAD"/>
    <w:rsid w:val="00CF1F28"/>
    <w:rsid w:val="00D007FC"/>
    <w:rsid w:val="00D27B19"/>
    <w:rsid w:val="00D31036"/>
    <w:rsid w:val="00D67954"/>
    <w:rsid w:val="00D80C6E"/>
    <w:rsid w:val="00D87857"/>
    <w:rsid w:val="00D90E53"/>
    <w:rsid w:val="00D91B7B"/>
    <w:rsid w:val="00DA5489"/>
    <w:rsid w:val="00DC186D"/>
    <w:rsid w:val="00DC5C81"/>
    <w:rsid w:val="00DE21E8"/>
    <w:rsid w:val="00E07B09"/>
    <w:rsid w:val="00E135DD"/>
    <w:rsid w:val="00E37A2F"/>
    <w:rsid w:val="00E70798"/>
    <w:rsid w:val="00E750BC"/>
    <w:rsid w:val="00EA20B3"/>
    <w:rsid w:val="00EA45E3"/>
    <w:rsid w:val="00EC3FD7"/>
    <w:rsid w:val="00EC70CF"/>
    <w:rsid w:val="00ED635E"/>
    <w:rsid w:val="00EF3DDB"/>
    <w:rsid w:val="00F026D6"/>
    <w:rsid w:val="00F06E49"/>
    <w:rsid w:val="00F0740B"/>
    <w:rsid w:val="00F21745"/>
    <w:rsid w:val="00F2395B"/>
    <w:rsid w:val="00F26A2E"/>
    <w:rsid w:val="00F46222"/>
    <w:rsid w:val="00F551C8"/>
    <w:rsid w:val="00F72F51"/>
    <w:rsid w:val="00F81998"/>
    <w:rsid w:val="00F93276"/>
    <w:rsid w:val="00FA1628"/>
    <w:rsid w:val="00FB4A29"/>
    <w:rsid w:val="00FC1DE8"/>
    <w:rsid w:val="00FC7766"/>
    <w:rsid w:val="00FF76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D9"/>
    <w:rPr>
      <w:rFonts w:ascii="Trebuchet MS" w:hAnsi="Trebuchet MS"/>
      <w:sz w:val="24"/>
      <w:szCs w:val="24"/>
      <w:lang w:eastAsia="en-US"/>
    </w:rPr>
  </w:style>
  <w:style w:type="paragraph" w:styleId="Heading1">
    <w:name w:val="heading 1"/>
    <w:basedOn w:val="Normal"/>
    <w:next w:val="Normal"/>
    <w:qFormat/>
    <w:rsid w:val="00F0740B"/>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789E"/>
    <w:pPr>
      <w:tabs>
        <w:tab w:val="center" w:pos="4320"/>
        <w:tab w:val="right" w:pos="8640"/>
      </w:tabs>
    </w:pPr>
  </w:style>
  <w:style w:type="paragraph" w:styleId="Footer">
    <w:name w:val="footer"/>
    <w:basedOn w:val="Normal"/>
    <w:rsid w:val="0031789E"/>
    <w:pPr>
      <w:tabs>
        <w:tab w:val="center" w:pos="4320"/>
        <w:tab w:val="right" w:pos="8640"/>
      </w:tabs>
    </w:pPr>
  </w:style>
  <w:style w:type="character" w:styleId="Hyperlink">
    <w:name w:val="Hyperlink"/>
    <w:basedOn w:val="DefaultParagraphFont"/>
    <w:rsid w:val="00645B4A"/>
    <w:rPr>
      <w:color w:val="0000FF"/>
      <w:u w:val="single"/>
    </w:rPr>
  </w:style>
  <w:style w:type="character" w:customStyle="1" w:styleId="heaney">
    <w:name w:val="EmailStyle18"/>
    <w:aliases w:val="EmailStyle18"/>
    <w:basedOn w:val="DefaultParagraphFont"/>
    <w:semiHidden/>
    <w:personal/>
    <w:personalCompose/>
    <w:rsid w:val="00645B4A"/>
    <w:rPr>
      <w:rFonts w:ascii="Trebuchet MS" w:hAnsi="Trebuchet MS" w:hint="default"/>
      <w:b w:val="0"/>
      <w:bCs w:val="0"/>
      <w:i w:val="0"/>
      <w:iCs w:val="0"/>
      <w:strike w:val="0"/>
      <w:dstrike w:val="0"/>
      <w:color w:val="auto"/>
      <w:sz w:val="20"/>
      <w:szCs w:val="20"/>
      <w:u w:val="none"/>
      <w:effect w:val="none"/>
    </w:rPr>
  </w:style>
  <w:style w:type="paragraph" w:styleId="EndnoteText">
    <w:name w:val="endnote text"/>
    <w:basedOn w:val="Normal"/>
    <w:semiHidden/>
    <w:rsid w:val="009676D8"/>
    <w:rPr>
      <w:sz w:val="20"/>
      <w:szCs w:val="20"/>
    </w:rPr>
  </w:style>
  <w:style w:type="character" w:styleId="EndnoteReference">
    <w:name w:val="endnote reference"/>
    <w:basedOn w:val="DefaultParagraphFont"/>
    <w:semiHidden/>
    <w:rsid w:val="009676D8"/>
    <w:rPr>
      <w:vertAlign w:val="superscript"/>
    </w:rPr>
  </w:style>
  <w:style w:type="table" w:styleId="TableGrid">
    <w:name w:val="Table Grid"/>
    <w:basedOn w:val="TableNormal"/>
    <w:rsid w:val="00647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6E47"/>
    <w:rPr>
      <w:rFonts w:ascii="Tahoma" w:hAnsi="Tahoma" w:cs="Tahoma"/>
      <w:sz w:val="16"/>
      <w:szCs w:val="16"/>
    </w:rPr>
  </w:style>
  <w:style w:type="paragraph" w:styleId="FootnoteText">
    <w:name w:val="footnote text"/>
    <w:basedOn w:val="Normal"/>
    <w:semiHidden/>
    <w:rsid w:val="00264B69"/>
    <w:rPr>
      <w:sz w:val="20"/>
      <w:szCs w:val="20"/>
    </w:rPr>
  </w:style>
  <w:style w:type="character" w:styleId="FootnoteReference">
    <w:name w:val="footnote reference"/>
    <w:basedOn w:val="DefaultParagraphFont"/>
    <w:semiHidden/>
    <w:rsid w:val="00264B69"/>
    <w:rPr>
      <w:vertAlign w:val="superscript"/>
    </w:rPr>
  </w:style>
  <w:style w:type="paragraph" w:styleId="TOC2">
    <w:name w:val="toc 2"/>
    <w:basedOn w:val="Normal"/>
    <w:next w:val="Normal"/>
    <w:autoRedefine/>
    <w:semiHidden/>
    <w:rsid w:val="0025264C"/>
    <w:pPr>
      <w:tabs>
        <w:tab w:val="right" w:leader="dot" w:pos="9060"/>
      </w:tabs>
      <w:ind w:left="720"/>
    </w:pPr>
  </w:style>
  <w:style w:type="paragraph" w:styleId="TOC1">
    <w:name w:val="toc 1"/>
    <w:basedOn w:val="Normal"/>
    <w:next w:val="Normal"/>
    <w:autoRedefine/>
    <w:semiHidden/>
    <w:rsid w:val="00C30932"/>
    <w:pPr>
      <w:tabs>
        <w:tab w:val="right" w:leader="dot" w:pos="9060"/>
      </w:tabs>
      <w:ind w:left="480"/>
    </w:pPr>
    <w:rPr>
      <w:noProof/>
      <w:sz w:val="28"/>
      <w:szCs w:val="28"/>
    </w:rPr>
  </w:style>
  <w:style w:type="paragraph" w:styleId="TOC3">
    <w:name w:val="toc 3"/>
    <w:basedOn w:val="Normal"/>
    <w:next w:val="Normal"/>
    <w:autoRedefine/>
    <w:semiHidden/>
    <w:rsid w:val="0025264C"/>
    <w:pPr>
      <w:ind w:left="480"/>
    </w:pPr>
  </w:style>
  <w:style w:type="paragraph" w:styleId="DocumentMap">
    <w:name w:val="Document Map"/>
    <w:basedOn w:val="Normal"/>
    <w:semiHidden/>
    <w:rsid w:val="0025264C"/>
    <w:pPr>
      <w:shd w:val="clear" w:color="auto" w:fill="000080"/>
    </w:pPr>
    <w:rPr>
      <w:rFonts w:ascii="Tahoma" w:hAnsi="Tahoma" w:cs="Tahoma"/>
    </w:rPr>
  </w:style>
  <w:style w:type="character" w:styleId="FollowedHyperlink">
    <w:name w:val="FollowedHyperlink"/>
    <w:basedOn w:val="DefaultParagraphFont"/>
    <w:rsid w:val="009517C7"/>
    <w:rPr>
      <w:color w:val="800080"/>
      <w:u w:val="single"/>
    </w:rPr>
  </w:style>
  <w:style w:type="paragraph" w:styleId="ListBullet">
    <w:name w:val="List Bullet"/>
    <w:basedOn w:val="List"/>
    <w:rsid w:val="00C20B38"/>
    <w:pPr>
      <w:numPr>
        <w:numId w:val="10"/>
      </w:numPr>
      <w:spacing w:after="220" w:line="220" w:lineRule="atLeast"/>
      <w:ind w:left="1797" w:hanging="357"/>
    </w:pPr>
    <w:rPr>
      <w:rFonts w:ascii="Arial" w:hAnsi="Arial"/>
      <w:szCs w:val="20"/>
      <w:lang w:val="en-US" w:eastAsia="en-GB"/>
    </w:rPr>
  </w:style>
  <w:style w:type="paragraph" w:styleId="List">
    <w:name w:val="List"/>
    <w:basedOn w:val="Normal"/>
    <w:rsid w:val="00C20B38"/>
    <w:pPr>
      <w:ind w:left="283" w:hanging="283"/>
    </w:pPr>
  </w:style>
</w:styles>
</file>

<file path=word/webSettings.xml><?xml version="1.0" encoding="utf-8"?>
<w:webSettings xmlns:r="http://schemas.openxmlformats.org/officeDocument/2006/relationships" xmlns:w="http://schemas.openxmlformats.org/wordprocessingml/2006/main">
  <w:divs>
    <w:div w:id="95560547">
      <w:bodyDiv w:val="1"/>
      <w:marLeft w:val="0"/>
      <w:marRight w:val="0"/>
      <w:marTop w:val="0"/>
      <w:marBottom w:val="0"/>
      <w:divBdr>
        <w:top w:val="none" w:sz="0" w:space="0" w:color="auto"/>
        <w:left w:val="none" w:sz="0" w:space="0" w:color="auto"/>
        <w:bottom w:val="none" w:sz="0" w:space="0" w:color="auto"/>
        <w:right w:val="none" w:sz="0" w:space="0" w:color="auto"/>
      </w:divBdr>
    </w:div>
    <w:div w:id="347800124">
      <w:bodyDiv w:val="1"/>
      <w:marLeft w:val="0"/>
      <w:marRight w:val="0"/>
      <w:marTop w:val="0"/>
      <w:marBottom w:val="0"/>
      <w:divBdr>
        <w:top w:val="none" w:sz="0" w:space="0" w:color="auto"/>
        <w:left w:val="none" w:sz="0" w:space="0" w:color="auto"/>
        <w:bottom w:val="none" w:sz="0" w:space="0" w:color="auto"/>
        <w:right w:val="none" w:sz="0" w:space="0" w:color="auto"/>
      </w:divBdr>
    </w:div>
    <w:div w:id="446240824">
      <w:bodyDiv w:val="1"/>
      <w:marLeft w:val="0"/>
      <w:marRight w:val="0"/>
      <w:marTop w:val="0"/>
      <w:marBottom w:val="0"/>
      <w:divBdr>
        <w:top w:val="none" w:sz="0" w:space="0" w:color="auto"/>
        <w:left w:val="none" w:sz="0" w:space="0" w:color="auto"/>
        <w:bottom w:val="none" w:sz="0" w:space="0" w:color="auto"/>
        <w:right w:val="none" w:sz="0" w:space="0" w:color="auto"/>
      </w:divBdr>
    </w:div>
    <w:div w:id="498156697">
      <w:bodyDiv w:val="1"/>
      <w:marLeft w:val="0"/>
      <w:marRight w:val="0"/>
      <w:marTop w:val="0"/>
      <w:marBottom w:val="0"/>
      <w:divBdr>
        <w:top w:val="none" w:sz="0" w:space="0" w:color="auto"/>
        <w:left w:val="none" w:sz="0" w:space="0" w:color="auto"/>
        <w:bottom w:val="none" w:sz="0" w:space="0" w:color="auto"/>
        <w:right w:val="none" w:sz="0" w:space="0" w:color="auto"/>
      </w:divBdr>
    </w:div>
    <w:div w:id="543760398">
      <w:bodyDiv w:val="1"/>
      <w:marLeft w:val="0"/>
      <w:marRight w:val="0"/>
      <w:marTop w:val="0"/>
      <w:marBottom w:val="0"/>
      <w:divBdr>
        <w:top w:val="none" w:sz="0" w:space="0" w:color="auto"/>
        <w:left w:val="none" w:sz="0" w:space="0" w:color="auto"/>
        <w:bottom w:val="none" w:sz="0" w:space="0" w:color="auto"/>
        <w:right w:val="none" w:sz="0" w:space="0" w:color="auto"/>
      </w:divBdr>
    </w:div>
    <w:div w:id="603726270">
      <w:bodyDiv w:val="1"/>
      <w:marLeft w:val="0"/>
      <w:marRight w:val="0"/>
      <w:marTop w:val="0"/>
      <w:marBottom w:val="0"/>
      <w:divBdr>
        <w:top w:val="none" w:sz="0" w:space="0" w:color="auto"/>
        <w:left w:val="none" w:sz="0" w:space="0" w:color="auto"/>
        <w:bottom w:val="none" w:sz="0" w:space="0" w:color="auto"/>
        <w:right w:val="none" w:sz="0" w:space="0" w:color="auto"/>
      </w:divBdr>
    </w:div>
    <w:div w:id="643313248">
      <w:bodyDiv w:val="1"/>
      <w:marLeft w:val="0"/>
      <w:marRight w:val="0"/>
      <w:marTop w:val="0"/>
      <w:marBottom w:val="0"/>
      <w:divBdr>
        <w:top w:val="none" w:sz="0" w:space="0" w:color="auto"/>
        <w:left w:val="none" w:sz="0" w:space="0" w:color="auto"/>
        <w:bottom w:val="none" w:sz="0" w:space="0" w:color="auto"/>
        <w:right w:val="none" w:sz="0" w:space="0" w:color="auto"/>
      </w:divBdr>
    </w:div>
    <w:div w:id="671831642">
      <w:bodyDiv w:val="1"/>
      <w:marLeft w:val="0"/>
      <w:marRight w:val="0"/>
      <w:marTop w:val="0"/>
      <w:marBottom w:val="0"/>
      <w:divBdr>
        <w:top w:val="none" w:sz="0" w:space="0" w:color="auto"/>
        <w:left w:val="none" w:sz="0" w:space="0" w:color="auto"/>
        <w:bottom w:val="none" w:sz="0" w:space="0" w:color="auto"/>
        <w:right w:val="none" w:sz="0" w:space="0" w:color="auto"/>
      </w:divBdr>
    </w:div>
    <w:div w:id="737485916">
      <w:bodyDiv w:val="1"/>
      <w:marLeft w:val="0"/>
      <w:marRight w:val="0"/>
      <w:marTop w:val="0"/>
      <w:marBottom w:val="0"/>
      <w:divBdr>
        <w:top w:val="none" w:sz="0" w:space="0" w:color="auto"/>
        <w:left w:val="none" w:sz="0" w:space="0" w:color="auto"/>
        <w:bottom w:val="none" w:sz="0" w:space="0" w:color="auto"/>
        <w:right w:val="none" w:sz="0" w:space="0" w:color="auto"/>
      </w:divBdr>
    </w:div>
    <w:div w:id="748235500">
      <w:bodyDiv w:val="1"/>
      <w:marLeft w:val="0"/>
      <w:marRight w:val="0"/>
      <w:marTop w:val="0"/>
      <w:marBottom w:val="0"/>
      <w:divBdr>
        <w:top w:val="none" w:sz="0" w:space="0" w:color="auto"/>
        <w:left w:val="none" w:sz="0" w:space="0" w:color="auto"/>
        <w:bottom w:val="none" w:sz="0" w:space="0" w:color="auto"/>
        <w:right w:val="none" w:sz="0" w:space="0" w:color="auto"/>
      </w:divBdr>
    </w:div>
    <w:div w:id="954487760">
      <w:bodyDiv w:val="1"/>
      <w:marLeft w:val="0"/>
      <w:marRight w:val="0"/>
      <w:marTop w:val="0"/>
      <w:marBottom w:val="0"/>
      <w:divBdr>
        <w:top w:val="none" w:sz="0" w:space="0" w:color="auto"/>
        <w:left w:val="none" w:sz="0" w:space="0" w:color="auto"/>
        <w:bottom w:val="none" w:sz="0" w:space="0" w:color="auto"/>
        <w:right w:val="none" w:sz="0" w:space="0" w:color="auto"/>
      </w:divBdr>
    </w:div>
    <w:div w:id="965234138">
      <w:bodyDiv w:val="1"/>
      <w:marLeft w:val="0"/>
      <w:marRight w:val="0"/>
      <w:marTop w:val="0"/>
      <w:marBottom w:val="0"/>
      <w:divBdr>
        <w:top w:val="none" w:sz="0" w:space="0" w:color="auto"/>
        <w:left w:val="none" w:sz="0" w:space="0" w:color="auto"/>
        <w:bottom w:val="none" w:sz="0" w:space="0" w:color="auto"/>
        <w:right w:val="none" w:sz="0" w:space="0" w:color="auto"/>
      </w:divBdr>
    </w:div>
    <w:div w:id="1088621600">
      <w:bodyDiv w:val="1"/>
      <w:marLeft w:val="0"/>
      <w:marRight w:val="0"/>
      <w:marTop w:val="0"/>
      <w:marBottom w:val="0"/>
      <w:divBdr>
        <w:top w:val="none" w:sz="0" w:space="0" w:color="auto"/>
        <w:left w:val="none" w:sz="0" w:space="0" w:color="auto"/>
        <w:bottom w:val="none" w:sz="0" w:space="0" w:color="auto"/>
        <w:right w:val="none" w:sz="0" w:space="0" w:color="auto"/>
      </w:divBdr>
    </w:div>
    <w:div w:id="1091858426">
      <w:bodyDiv w:val="1"/>
      <w:marLeft w:val="0"/>
      <w:marRight w:val="0"/>
      <w:marTop w:val="0"/>
      <w:marBottom w:val="0"/>
      <w:divBdr>
        <w:top w:val="none" w:sz="0" w:space="0" w:color="auto"/>
        <w:left w:val="none" w:sz="0" w:space="0" w:color="auto"/>
        <w:bottom w:val="none" w:sz="0" w:space="0" w:color="auto"/>
        <w:right w:val="none" w:sz="0" w:space="0" w:color="auto"/>
      </w:divBdr>
    </w:div>
    <w:div w:id="1162968136">
      <w:bodyDiv w:val="1"/>
      <w:marLeft w:val="0"/>
      <w:marRight w:val="0"/>
      <w:marTop w:val="0"/>
      <w:marBottom w:val="0"/>
      <w:divBdr>
        <w:top w:val="none" w:sz="0" w:space="0" w:color="auto"/>
        <w:left w:val="none" w:sz="0" w:space="0" w:color="auto"/>
        <w:bottom w:val="none" w:sz="0" w:space="0" w:color="auto"/>
        <w:right w:val="none" w:sz="0" w:space="0" w:color="auto"/>
      </w:divBdr>
    </w:div>
    <w:div w:id="1221090042">
      <w:bodyDiv w:val="1"/>
      <w:marLeft w:val="0"/>
      <w:marRight w:val="0"/>
      <w:marTop w:val="0"/>
      <w:marBottom w:val="0"/>
      <w:divBdr>
        <w:top w:val="none" w:sz="0" w:space="0" w:color="auto"/>
        <w:left w:val="none" w:sz="0" w:space="0" w:color="auto"/>
        <w:bottom w:val="none" w:sz="0" w:space="0" w:color="auto"/>
        <w:right w:val="none" w:sz="0" w:space="0" w:color="auto"/>
      </w:divBdr>
    </w:div>
    <w:div w:id="1221601281">
      <w:bodyDiv w:val="1"/>
      <w:marLeft w:val="0"/>
      <w:marRight w:val="0"/>
      <w:marTop w:val="0"/>
      <w:marBottom w:val="0"/>
      <w:divBdr>
        <w:top w:val="none" w:sz="0" w:space="0" w:color="auto"/>
        <w:left w:val="none" w:sz="0" w:space="0" w:color="auto"/>
        <w:bottom w:val="none" w:sz="0" w:space="0" w:color="auto"/>
        <w:right w:val="none" w:sz="0" w:space="0" w:color="auto"/>
      </w:divBdr>
    </w:div>
    <w:div w:id="1267931048">
      <w:bodyDiv w:val="1"/>
      <w:marLeft w:val="0"/>
      <w:marRight w:val="0"/>
      <w:marTop w:val="0"/>
      <w:marBottom w:val="0"/>
      <w:divBdr>
        <w:top w:val="none" w:sz="0" w:space="0" w:color="auto"/>
        <w:left w:val="none" w:sz="0" w:space="0" w:color="auto"/>
        <w:bottom w:val="none" w:sz="0" w:space="0" w:color="auto"/>
        <w:right w:val="none" w:sz="0" w:space="0" w:color="auto"/>
      </w:divBdr>
    </w:div>
    <w:div w:id="1293092760">
      <w:bodyDiv w:val="1"/>
      <w:marLeft w:val="0"/>
      <w:marRight w:val="0"/>
      <w:marTop w:val="0"/>
      <w:marBottom w:val="0"/>
      <w:divBdr>
        <w:top w:val="none" w:sz="0" w:space="0" w:color="auto"/>
        <w:left w:val="none" w:sz="0" w:space="0" w:color="auto"/>
        <w:bottom w:val="none" w:sz="0" w:space="0" w:color="auto"/>
        <w:right w:val="none" w:sz="0" w:space="0" w:color="auto"/>
      </w:divBdr>
    </w:div>
    <w:div w:id="1334646010">
      <w:bodyDiv w:val="1"/>
      <w:marLeft w:val="0"/>
      <w:marRight w:val="0"/>
      <w:marTop w:val="0"/>
      <w:marBottom w:val="0"/>
      <w:divBdr>
        <w:top w:val="none" w:sz="0" w:space="0" w:color="auto"/>
        <w:left w:val="none" w:sz="0" w:space="0" w:color="auto"/>
        <w:bottom w:val="none" w:sz="0" w:space="0" w:color="auto"/>
        <w:right w:val="none" w:sz="0" w:space="0" w:color="auto"/>
      </w:divBdr>
    </w:div>
    <w:div w:id="1457917911">
      <w:bodyDiv w:val="1"/>
      <w:marLeft w:val="0"/>
      <w:marRight w:val="0"/>
      <w:marTop w:val="0"/>
      <w:marBottom w:val="0"/>
      <w:divBdr>
        <w:top w:val="none" w:sz="0" w:space="0" w:color="auto"/>
        <w:left w:val="none" w:sz="0" w:space="0" w:color="auto"/>
        <w:bottom w:val="none" w:sz="0" w:space="0" w:color="auto"/>
        <w:right w:val="none" w:sz="0" w:space="0" w:color="auto"/>
      </w:divBdr>
    </w:div>
    <w:div w:id="1728723553">
      <w:bodyDiv w:val="1"/>
      <w:marLeft w:val="0"/>
      <w:marRight w:val="0"/>
      <w:marTop w:val="0"/>
      <w:marBottom w:val="0"/>
      <w:divBdr>
        <w:top w:val="none" w:sz="0" w:space="0" w:color="auto"/>
        <w:left w:val="none" w:sz="0" w:space="0" w:color="auto"/>
        <w:bottom w:val="none" w:sz="0" w:space="0" w:color="auto"/>
        <w:right w:val="none" w:sz="0" w:space="0" w:color="auto"/>
      </w:divBdr>
    </w:div>
    <w:div w:id="1790666275">
      <w:bodyDiv w:val="1"/>
      <w:marLeft w:val="0"/>
      <w:marRight w:val="0"/>
      <w:marTop w:val="0"/>
      <w:marBottom w:val="0"/>
      <w:divBdr>
        <w:top w:val="none" w:sz="0" w:space="0" w:color="auto"/>
        <w:left w:val="none" w:sz="0" w:space="0" w:color="auto"/>
        <w:bottom w:val="none" w:sz="0" w:space="0" w:color="auto"/>
        <w:right w:val="none" w:sz="0" w:space="0" w:color="auto"/>
      </w:divBdr>
    </w:div>
    <w:div w:id="1819029919">
      <w:bodyDiv w:val="1"/>
      <w:marLeft w:val="0"/>
      <w:marRight w:val="0"/>
      <w:marTop w:val="0"/>
      <w:marBottom w:val="0"/>
      <w:divBdr>
        <w:top w:val="none" w:sz="0" w:space="0" w:color="auto"/>
        <w:left w:val="none" w:sz="0" w:space="0" w:color="auto"/>
        <w:bottom w:val="none" w:sz="0" w:space="0" w:color="auto"/>
        <w:right w:val="none" w:sz="0" w:space="0" w:color="auto"/>
      </w:divBdr>
    </w:div>
    <w:div w:id="1877156810">
      <w:bodyDiv w:val="1"/>
      <w:marLeft w:val="0"/>
      <w:marRight w:val="0"/>
      <w:marTop w:val="0"/>
      <w:marBottom w:val="0"/>
      <w:divBdr>
        <w:top w:val="none" w:sz="0" w:space="0" w:color="auto"/>
        <w:left w:val="none" w:sz="0" w:space="0" w:color="auto"/>
        <w:bottom w:val="none" w:sz="0" w:space="0" w:color="auto"/>
        <w:right w:val="none" w:sz="0" w:space="0" w:color="auto"/>
      </w:divBdr>
    </w:div>
    <w:div w:id="1896160145">
      <w:bodyDiv w:val="1"/>
      <w:marLeft w:val="0"/>
      <w:marRight w:val="0"/>
      <w:marTop w:val="0"/>
      <w:marBottom w:val="0"/>
      <w:divBdr>
        <w:top w:val="none" w:sz="0" w:space="0" w:color="auto"/>
        <w:left w:val="none" w:sz="0" w:space="0" w:color="auto"/>
        <w:bottom w:val="none" w:sz="0" w:space="0" w:color="auto"/>
        <w:right w:val="none" w:sz="0" w:space="0" w:color="auto"/>
      </w:divBdr>
    </w:div>
    <w:div w:id="1925185728">
      <w:bodyDiv w:val="1"/>
      <w:marLeft w:val="0"/>
      <w:marRight w:val="0"/>
      <w:marTop w:val="0"/>
      <w:marBottom w:val="0"/>
      <w:divBdr>
        <w:top w:val="none" w:sz="0" w:space="0" w:color="auto"/>
        <w:left w:val="none" w:sz="0" w:space="0" w:color="auto"/>
        <w:bottom w:val="none" w:sz="0" w:space="0" w:color="auto"/>
        <w:right w:val="none" w:sz="0" w:space="0" w:color="auto"/>
      </w:divBdr>
    </w:div>
    <w:div w:id="1945309845">
      <w:bodyDiv w:val="1"/>
      <w:marLeft w:val="0"/>
      <w:marRight w:val="0"/>
      <w:marTop w:val="0"/>
      <w:marBottom w:val="0"/>
      <w:divBdr>
        <w:top w:val="none" w:sz="0" w:space="0" w:color="auto"/>
        <w:left w:val="none" w:sz="0" w:space="0" w:color="auto"/>
        <w:bottom w:val="none" w:sz="0" w:space="0" w:color="auto"/>
        <w:right w:val="none" w:sz="0" w:space="0" w:color="auto"/>
      </w:divBdr>
    </w:div>
    <w:div w:id="1972518089">
      <w:bodyDiv w:val="1"/>
      <w:marLeft w:val="0"/>
      <w:marRight w:val="0"/>
      <w:marTop w:val="0"/>
      <w:marBottom w:val="0"/>
      <w:divBdr>
        <w:top w:val="none" w:sz="0" w:space="0" w:color="auto"/>
        <w:left w:val="none" w:sz="0" w:space="0" w:color="auto"/>
        <w:bottom w:val="none" w:sz="0" w:space="0" w:color="auto"/>
        <w:right w:val="none" w:sz="0" w:space="0" w:color="auto"/>
      </w:divBdr>
    </w:div>
    <w:div w:id="21365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allislandproject.org/en/generation.aspx?article=4ad994c7-e273-485d-a30f-c658a34e90f7" TargetMode="External"/><Relationship Id="rId1" Type="http://schemas.openxmlformats.org/officeDocument/2006/relationships/hyperlink" Target="http://ofreg.nics.gov.uk/pdf%20files/The%20Energy%20Efficiency%20Levy%20Programme%20-Review.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3890</Words>
  <Characters>22177</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NIE Supply Price Control 2007</vt:lpstr>
    </vt:vector>
  </TitlesOfParts>
  <Company>OFREG</Company>
  <LinksUpToDate>false</LinksUpToDate>
  <CharactersWithSpaces>26015</CharactersWithSpaces>
  <SharedDoc>false</SharedDoc>
  <HLinks>
    <vt:vector size="132" baseType="variant">
      <vt:variant>
        <vt:i4>1441846</vt:i4>
      </vt:variant>
      <vt:variant>
        <vt:i4>119</vt:i4>
      </vt:variant>
      <vt:variant>
        <vt:i4>0</vt:i4>
      </vt:variant>
      <vt:variant>
        <vt:i4>5</vt:i4>
      </vt:variant>
      <vt:variant>
        <vt:lpwstr/>
      </vt:variant>
      <vt:variant>
        <vt:lpwstr>_Toc184009301</vt:lpwstr>
      </vt:variant>
      <vt:variant>
        <vt:i4>1769525</vt:i4>
      </vt:variant>
      <vt:variant>
        <vt:i4>110</vt:i4>
      </vt:variant>
      <vt:variant>
        <vt:i4>0</vt:i4>
      </vt:variant>
      <vt:variant>
        <vt:i4>5</vt:i4>
      </vt:variant>
      <vt:variant>
        <vt:lpwstr/>
      </vt:variant>
      <vt:variant>
        <vt:lpwstr>_Toc181605577</vt:lpwstr>
      </vt:variant>
      <vt:variant>
        <vt:i4>1769525</vt:i4>
      </vt:variant>
      <vt:variant>
        <vt:i4>104</vt:i4>
      </vt:variant>
      <vt:variant>
        <vt:i4>0</vt:i4>
      </vt:variant>
      <vt:variant>
        <vt:i4>5</vt:i4>
      </vt:variant>
      <vt:variant>
        <vt:lpwstr/>
      </vt:variant>
      <vt:variant>
        <vt:lpwstr>_Toc181605576</vt:lpwstr>
      </vt:variant>
      <vt:variant>
        <vt:i4>1769525</vt:i4>
      </vt:variant>
      <vt:variant>
        <vt:i4>98</vt:i4>
      </vt:variant>
      <vt:variant>
        <vt:i4>0</vt:i4>
      </vt:variant>
      <vt:variant>
        <vt:i4>5</vt:i4>
      </vt:variant>
      <vt:variant>
        <vt:lpwstr/>
      </vt:variant>
      <vt:variant>
        <vt:lpwstr>_Toc181605575</vt:lpwstr>
      </vt:variant>
      <vt:variant>
        <vt:i4>1769525</vt:i4>
      </vt:variant>
      <vt:variant>
        <vt:i4>92</vt:i4>
      </vt:variant>
      <vt:variant>
        <vt:i4>0</vt:i4>
      </vt:variant>
      <vt:variant>
        <vt:i4>5</vt:i4>
      </vt:variant>
      <vt:variant>
        <vt:lpwstr/>
      </vt:variant>
      <vt:variant>
        <vt:lpwstr>_Toc181605574</vt:lpwstr>
      </vt:variant>
      <vt:variant>
        <vt:i4>1769525</vt:i4>
      </vt:variant>
      <vt:variant>
        <vt:i4>86</vt:i4>
      </vt:variant>
      <vt:variant>
        <vt:i4>0</vt:i4>
      </vt:variant>
      <vt:variant>
        <vt:i4>5</vt:i4>
      </vt:variant>
      <vt:variant>
        <vt:lpwstr/>
      </vt:variant>
      <vt:variant>
        <vt:lpwstr>_Toc181605573</vt:lpwstr>
      </vt:variant>
      <vt:variant>
        <vt:i4>1769525</vt:i4>
      </vt:variant>
      <vt:variant>
        <vt:i4>80</vt:i4>
      </vt:variant>
      <vt:variant>
        <vt:i4>0</vt:i4>
      </vt:variant>
      <vt:variant>
        <vt:i4>5</vt:i4>
      </vt:variant>
      <vt:variant>
        <vt:lpwstr/>
      </vt:variant>
      <vt:variant>
        <vt:lpwstr>_Toc181605572</vt:lpwstr>
      </vt:variant>
      <vt:variant>
        <vt:i4>1769525</vt:i4>
      </vt:variant>
      <vt:variant>
        <vt:i4>74</vt:i4>
      </vt:variant>
      <vt:variant>
        <vt:i4>0</vt:i4>
      </vt:variant>
      <vt:variant>
        <vt:i4>5</vt:i4>
      </vt:variant>
      <vt:variant>
        <vt:lpwstr/>
      </vt:variant>
      <vt:variant>
        <vt:lpwstr>_Toc181605571</vt:lpwstr>
      </vt:variant>
      <vt:variant>
        <vt:i4>1769525</vt:i4>
      </vt:variant>
      <vt:variant>
        <vt:i4>68</vt:i4>
      </vt:variant>
      <vt:variant>
        <vt:i4>0</vt:i4>
      </vt:variant>
      <vt:variant>
        <vt:i4>5</vt:i4>
      </vt:variant>
      <vt:variant>
        <vt:lpwstr/>
      </vt:variant>
      <vt:variant>
        <vt:lpwstr>_Toc181605570</vt:lpwstr>
      </vt:variant>
      <vt:variant>
        <vt:i4>1703989</vt:i4>
      </vt:variant>
      <vt:variant>
        <vt:i4>62</vt:i4>
      </vt:variant>
      <vt:variant>
        <vt:i4>0</vt:i4>
      </vt:variant>
      <vt:variant>
        <vt:i4>5</vt:i4>
      </vt:variant>
      <vt:variant>
        <vt:lpwstr/>
      </vt:variant>
      <vt:variant>
        <vt:lpwstr>_Toc181605569</vt:lpwstr>
      </vt:variant>
      <vt:variant>
        <vt:i4>1703989</vt:i4>
      </vt:variant>
      <vt:variant>
        <vt:i4>56</vt:i4>
      </vt:variant>
      <vt:variant>
        <vt:i4>0</vt:i4>
      </vt:variant>
      <vt:variant>
        <vt:i4>5</vt:i4>
      </vt:variant>
      <vt:variant>
        <vt:lpwstr/>
      </vt:variant>
      <vt:variant>
        <vt:lpwstr>_Toc181605568</vt:lpwstr>
      </vt:variant>
      <vt:variant>
        <vt:i4>1703989</vt:i4>
      </vt:variant>
      <vt:variant>
        <vt:i4>50</vt:i4>
      </vt:variant>
      <vt:variant>
        <vt:i4>0</vt:i4>
      </vt:variant>
      <vt:variant>
        <vt:i4>5</vt:i4>
      </vt:variant>
      <vt:variant>
        <vt:lpwstr/>
      </vt:variant>
      <vt:variant>
        <vt:lpwstr>_Toc181605567</vt:lpwstr>
      </vt:variant>
      <vt:variant>
        <vt:i4>1703989</vt:i4>
      </vt:variant>
      <vt:variant>
        <vt:i4>44</vt:i4>
      </vt:variant>
      <vt:variant>
        <vt:i4>0</vt:i4>
      </vt:variant>
      <vt:variant>
        <vt:i4>5</vt:i4>
      </vt:variant>
      <vt:variant>
        <vt:lpwstr/>
      </vt:variant>
      <vt:variant>
        <vt:lpwstr>_Toc181605566</vt:lpwstr>
      </vt:variant>
      <vt:variant>
        <vt:i4>1703989</vt:i4>
      </vt:variant>
      <vt:variant>
        <vt:i4>38</vt:i4>
      </vt:variant>
      <vt:variant>
        <vt:i4>0</vt:i4>
      </vt:variant>
      <vt:variant>
        <vt:i4>5</vt:i4>
      </vt:variant>
      <vt:variant>
        <vt:lpwstr/>
      </vt:variant>
      <vt:variant>
        <vt:lpwstr>_Toc181605565</vt:lpwstr>
      </vt:variant>
      <vt:variant>
        <vt:i4>1703989</vt:i4>
      </vt:variant>
      <vt:variant>
        <vt:i4>32</vt:i4>
      </vt:variant>
      <vt:variant>
        <vt:i4>0</vt:i4>
      </vt:variant>
      <vt:variant>
        <vt:i4>5</vt:i4>
      </vt:variant>
      <vt:variant>
        <vt:lpwstr/>
      </vt:variant>
      <vt:variant>
        <vt:lpwstr>_Toc181605564</vt:lpwstr>
      </vt:variant>
      <vt:variant>
        <vt:i4>1703989</vt:i4>
      </vt:variant>
      <vt:variant>
        <vt:i4>26</vt:i4>
      </vt:variant>
      <vt:variant>
        <vt:i4>0</vt:i4>
      </vt:variant>
      <vt:variant>
        <vt:i4>5</vt:i4>
      </vt:variant>
      <vt:variant>
        <vt:lpwstr/>
      </vt:variant>
      <vt:variant>
        <vt:lpwstr>_Toc181605563</vt:lpwstr>
      </vt:variant>
      <vt:variant>
        <vt:i4>1703989</vt:i4>
      </vt:variant>
      <vt:variant>
        <vt:i4>20</vt:i4>
      </vt:variant>
      <vt:variant>
        <vt:i4>0</vt:i4>
      </vt:variant>
      <vt:variant>
        <vt:i4>5</vt:i4>
      </vt:variant>
      <vt:variant>
        <vt:lpwstr/>
      </vt:variant>
      <vt:variant>
        <vt:lpwstr>_Toc181605562</vt:lpwstr>
      </vt:variant>
      <vt:variant>
        <vt:i4>1703989</vt:i4>
      </vt:variant>
      <vt:variant>
        <vt:i4>14</vt:i4>
      </vt:variant>
      <vt:variant>
        <vt:i4>0</vt:i4>
      </vt:variant>
      <vt:variant>
        <vt:i4>5</vt:i4>
      </vt:variant>
      <vt:variant>
        <vt:lpwstr/>
      </vt:variant>
      <vt:variant>
        <vt:lpwstr>_Toc181605561</vt:lpwstr>
      </vt:variant>
      <vt:variant>
        <vt:i4>1703989</vt:i4>
      </vt:variant>
      <vt:variant>
        <vt:i4>8</vt:i4>
      </vt:variant>
      <vt:variant>
        <vt:i4>0</vt:i4>
      </vt:variant>
      <vt:variant>
        <vt:i4>5</vt:i4>
      </vt:variant>
      <vt:variant>
        <vt:lpwstr/>
      </vt:variant>
      <vt:variant>
        <vt:lpwstr>_Toc181605560</vt:lpwstr>
      </vt:variant>
      <vt:variant>
        <vt:i4>1638453</vt:i4>
      </vt:variant>
      <vt:variant>
        <vt:i4>2</vt:i4>
      </vt:variant>
      <vt:variant>
        <vt:i4>0</vt:i4>
      </vt:variant>
      <vt:variant>
        <vt:i4>5</vt:i4>
      </vt:variant>
      <vt:variant>
        <vt:lpwstr/>
      </vt:variant>
      <vt:variant>
        <vt:lpwstr>_Toc181605559</vt:lpwstr>
      </vt:variant>
      <vt:variant>
        <vt:i4>6488181</vt:i4>
      </vt:variant>
      <vt:variant>
        <vt:i4>3</vt:i4>
      </vt:variant>
      <vt:variant>
        <vt:i4>0</vt:i4>
      </vt:variant>
      <vt:variant>
        <vt:i4>5</vt:i4>
      </vt:variant>
      <vt:variant>
        <vt:lpwstr>http://www.allislandproject.org/en/generation.aspx?article=4ad994c7-e273-485d-a30f-c658a34e90f7</vt:lpwstr>
      </vt:variant>
      <vt:variant>
        <vt:lpwstr/>
      </vt:variant>
      <vt:variant>
        <vt:i4>3342386</vt:i4>
      </vt:variant>
      <vt:variant>
        <vt:i4>0</vt:i4>
      </vt:variant>
      <vt:variant>
        <vt:i4>0</vt:i4>
      </vt:variant>
      <vt:variant>
        <vt:i4>5</vt:i4>
      </vt:variant>
      <vt:variant>
        <vt:lpwstr>http://ofreg.nics.gov.uk/pdf files/The Energy Efficiency Levy Programme -Review.doc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Supply Price Control 2007</dc:title>
  <dc:creator>heaney</dc:creator>
  <cp:keywords>supply nie customer cost market</cp:keywords>
  <dc:description>NIE Supply Price Control 2007_x000d__x000d__x000d_Utility Regulator Proposal_x000d_Operating Costs_x000d_Utility Regulator Proposal_x000d_Utility Regulator Proposal</dc:description>
  <cp:lastModifiedBy>Barbara Stevenson</cp:lastModifiedBy>
  <cp:revision>2</cp:revision>
  <cp:lastPrinted>2007-12-04T13:18:00Z</cp:lastPrinted>
  <dcterms:created xsi:type="dcterms:W3CDTF">2016-09-06T14:23:00Z</dcterms:created>
  <dcterms:modified xsi:type="dcterms:W3CDTF">2016-09-06T14:23:00Z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1020275675</vt:i4>
  </property>
  <property fmtid="{D5CDD505-2E9C-101B-9397-08002B2CF9AE}" pid="3" name="_EmailSubject">
    <vt:lpwstr>Supply Price Control Paper</vt:lpwstr>
  </property>
  <property fmtid="{D5CDD505-2E9C-101B-9397-08002B2CF9AE}" pid="4" name="_AuthorEmail">
    <vt:lpwstr>andrea.heaney@niaur.gov.uk</vt:lpwstr>
  </property>
  <property fmtid="{D5CDD505-2E9C-101B-9397-08002B2CF9AE}" pid="5" name="_AuthorEmailDisplayName">
    <vt:lpwstr>Heaney, Andrea</vt:lpwstr>
  </property>
  <property fmtid="{D5CDD505-2E9C-101B-9397-08002B2CF9AE}" pid="6" name="_ReviewingToolsShownOnce">
    <vt:lpwstr/>
  </property>
</Properties>
</file>