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B0922" w14:textId="5F1406F3" w:rsidR="00C30B73" w:rsidRPr="00852D82" w:rsidRDefault="00852D82" w:rsidP="00E475AD">
      <w:pPr>
        <w:pStyle w:val="URExecSumtitle"/>
        <w:rPr>
          <w:color w:val="76923C" w:themeColor="accent3" w:themeShade="BF"/>
        </w:rPr>
      </w:pPr>
      <w:r w:rsidRPr="00852D82">
        <w:rPr>
          <w:color w:val="76923C" w:themeColor="accent3" w:themeShade="BF"/>
        </w:rPr>
        <w:t xml:space="preserve">PC21 final determination: </w:t>
      </w:r>
      <w:r w:rsidR="00C57FC9" w:rsidRPr="00852D82">
        <w:rPr>
          <w:color w:val="76923C" w:themeColor="accent3" w:themeShade="BF"/>
        </w:rPr>
        <w:t>Key point summary</w:t>
      </w:r>
    </w:p>
    <w:p w14:paraId="37CB1AE1" w14:textId="3C0989DD" w:rsidR="009604A3" w:rsidRDefault="009604A3" w:rsidP="009604A3">
      <w:pPr>
        <w:pStyle w:val="URExecSumparagraph"/>
      </w:pPr>
      <w:r>
        <w:t xml:space="preserve">The PC21 price control determines NI Water’s price limits and outputs for the six-year period from April 2021 to March 2027.  The price control protects the interest of Northern Ireland consumers by challenging NI Water to deliver high quality, value for money water and sewerage services. </w:t>
      </w:r>
    </w:p>
    <w:p w14:paraId="05D3048E" w14:textId="0192716E" w:rsidR="009604A3" w:rsidRDefault="009604A3" w:rsidP="009604A3">
      <w:pPr>
        <w:pStyle w:val="URExecSumparagraph"/>
      </w:pPr>
      <w:r>
        <w:t>Much of NI Water’s business plan and the PC21 price control reflects the on-going operation and maintenance of water and sewerage systems.  However, three strategic issues focussed on within this price control will define the development of water and sewerage services over the medium to longer term. These are:</w:t>
      </w:r>
    </w:p>
    <w:p w14:paraId="0B6274C2" w14:textId="77777777" w:rsidR="009604A3" w:rsidRDefault="009604A3" w:rsidP="009604A3">
      <w:pPr>
        <w:pStyle w:val="URExecSumparagraph"/>
        <w:numPr>
          <w:ilvl w:val="0"/>
          <w:numId w:val="44"/>
        </w:numPr>
      </w:pPr>
      <w:r w:rsidRPr="00362E53">
        <w:rPr>
          <w:b/>
        </w:rPr>
        <w:t>Development constraints.</w:t>
      </w:r>
      <w:r>
        <w:t xml:space="preserve">  During PC21, NI Water will only begin to address the current development constraints and lack of capacity in sewerage networks and wastewater treatment works.  Additional investment will be required in future price controls to deal with further development constraints and future needs.  </w:t>
      </w:r>
      <w:r w:rsidRPr="006F3B84">
        <w:t xml:space="preserve">This presents a </w:t>
      </w:r>
      <w:r>
        <w:t xml:space="preserve">wider </w:t>
      </w:r>
      <w:r w:rsidRPr="006F3B84">
        <w:t xml:space="preserve">challenge </w:t>
      </w:r>
      <w:r>
        <w:t>on</w:t>
      </w:r>
      <w:r w:rsidRPr="006F3B84">
        <w:t xml:space="preserve"> how economic development </w:t>
      </w:r>
      <w:proofErr w:type="gramStart"/>
      <w:r w:rsidRPr="006F3B84">
        <w:t>can be supported</w:t>
      </w:r>
      <w:proofErr w:type="gramEnd"/>
      <w:r w:rsidRPr="006F3B84">
        <w:t xml:space="preserve"> </w:t>
      </w:r>
      <w:r>
        <w:t>while the necessary investment is delivered</w:t>
      </w:r>
      <w:r w:rsidRPr="006F3B84">
        <w:t>.</w:t>
      </w:r>
    </w:p>
    <w:p w14:paraId="5B2600A7" w14:textId="315273BC" w:rsidR="009604A3" w:rsidRPr="009C7C61" w:rsidRDefault="009604A3" w:rsidP="00AC0E04">
      <w:pPr>
        <w:pStyle w:val="URExecSumparagraph"/>
        <w:numPr>
          <w:ilvl w:val="0"/>
          <w:numId w:val="44"/>
        </w:numPr>
        <w:rPr>
          <w:b/>
        </w:rPr>
      </w:pPr>
      <w:r w:rsidRPr="005B4363">
        <w:rPr>
          <w:b/>
        </w:rPr>
        <w:t>Increasing capital investment.</w:t>
      </w:r>
      <w:r w:rsidRPr="005B4363">
        <w:t xml:space="preserve"> </w:t>
      </w:r>
      <w:r>
        <w:t xml:space="preserve"> NI Water plans to deliver outputs requiring investment of £</w:t>
      </w:r>
      <w:r w:rsidR="009836C1">
        <w:t>2.08</w:t>
      </w:r>
      <w:r>
        <w:t>bn</w:t>
      </w:r>
      <w:r w:rsidR="009836C1">
        <w:t xml:space="preserve"> in nominal terms</w:t>
      </w:r>
      <w:r>
        <w:t xml:space="preserve">, an increase of </w:t>
      </w:r>
      <w:r w:rsidR="009836C1">
        <w:t>87</w:t>
      </w:r>
      <w:r>
        <w:t xml:space="preserve">% </w:t>
      </w:r>
      <w:r w:rsidR="009836C1">
        <w:t xml:space="preserve">in real terms </w:t>
      </w:r>
      <w:r>
        <w:t>compared to the previous price control, PC15.  This will place further pressure on public expenditure budgets</w:t>
      </w:r>
      <w:r w:rsidR="009836C1">
        <w:t>.  H</w:t>
      </w:r>
      <w:r>
        <w:t>owever, without this investment, NI Water will continue to breach statutory environmental obligations</w:t>
      </w:r>
      <w:r w:rsidR="009836C1">
        <w:t xml:space="preserve"> and will fail to alleviate development constraints</w:t>
      </w:r>
      <w:r>
        <w:t xml:space="preserve">.  </w:t>
      </w:r>
      <w:r w:rsidR="00AC0E04" w:rsidRPr="00AC0E04">
        <w:t xml:space="preserve">The increase in investment allowed over this six-year price control will need to </w:t>
      </w:r>
      <w:proofErr w:type="gramStart"/>
      <w:r w:rsidR="00AC0E04" w:rsidRPr="00AC0E04">
        <w:t>be matched</w:t>
      </w:r>
      <w:proofErr w:type="gramEnd"/>
      <w:r w:rsidR="00AC0E04" w:rsidRPr="00AC0E04">
        <w:t xml:space="preserve"> by a corresponding funding commitment to ensure all the benefits are fully realised.</w:t>
      </w:r>
    </w:p>
    <w:p w14:paraId="5BF40020" w14:textId="747E0577" w:rsidR="009604A3" w:rsidRDefault="009604A3" w:rsidP="009604A3">
      <w:pPr>
        <w:pStyle w:val="URExecSumparagraph"/>
        <w:numPr>
          <w:ilvl w:val="0"/>
          <w:numId w:val="44"/>
        </w:numPr>
      </w:pPr>
      <w:r w:rsidRPr="005B4363">
        <w:rPr>
          <w:b/>
        </w:rPr>
        <w:t>Long-term tariff stability.</w:t>
      </w:r>
      <w:r>
        <w:t xml:space="preserve">  To ensure greater stability in tariffs over the medium term, taking account of long-term capital investment needs, we have set an overall price limit of zero (excluding inflation) for </w:t>
      </w:r>
      <w:r w:rsidR="003B7B1A">
        <w:t xml:space="preserve">the remaining years of </w:t>
      </w:r>
      <w:r>
        <w:t xml:space="preserve">this price control period.   We will continue to engage with both NI Water and </w:t>
      </w:r>
      <w:r w:rsidR="003B7B1A">
        <w:t>the Department for Infrastructure (</w:t>
      </w:r>
      <w:proofErr w:type="spellStart"/>
      <w:r>
        <w:t>DfI</w:t>
      </w:r>
      <w:proofErr w:type="spellEnd"/>
      <w:r w:rsidR="003B7B1A">
        <w:t>)</w:t>
      </w:r>
      <w:r>
        <w:t xml:space="preserve"> on long-term sustainable funding for NI Water.</w:t>
      </w:r>
    </w:p>
    <w:p w14:paraId="3AB5B653" w14:textId="02CD646F" w:rsidR="009604A3" w:rsidRPr="00852D82" w:rsidRDefault="009604A3" w:rsidP="003B7B1A">
      <w:pPr>
        <w:pStyle w:val="URExecSumparagraph"/>
        <w:rPr>
          <w:b/>
          <w:color w:val="76923C" w:themeColor="accent3" w:themeShade="BF"/>
          <w:sz w:val="28"/>
          <w:szCs w:val="28"/>
        </w:rPr>
      </w:pPr>
      <w:r w:rsidRPr="00852D82">
        <w:rPr>
          <w:b/>
          <w:color w:val="76923C" w:themeColor="accent3" w:themeShade="BF"/>
          <w:sz w:val="28"/>
          <w:szCs w:val="28"/>
        </w:rPr>
        <w:t>Summary of key price control</w:t>
      </w:r>
      <w:r w:rsidR="00852D82" w:rsidRPr="00852D82">
        <w:rPr>
          <w:b/>
          <w:color w:val="76923C" w:themeColor="accent3" w:themeShade="BF"/>
          <w:sz w:val="28"/>
          <w:szCs w:val="28"/>
        </w:rPr>
        <w:t xml:space="preserve"> decisions</w:t>
      </w:r>
    </w:p>
    <w:p w14:paraId="68205ACD" w14:textId="77777777" w:rsidR="009604A3" w:rsidRPr="005B4363" w:rsidRDefault="009604A3" w:rsidP="009604A3">
      <w:pPr>
        <w:pStyle w:val="URExecSumparagraph"/>
        <w:rPr>
          <w:b/>
        </w:rPr>
      </w:pPr>
      <w:r w:rsidRPr="005B4363">
        <w:rPr>
          <w:b/>
        </w:rPr>
        <w:t>Operational expenditure</w:t>
      </w:r>
    </w:p>
    <w:p w14:paraId="4025EC8C" w14:textId="7A7C88A1" w:rsidR="009604A3" w:rsidRDefault="009604A3" w:rsidP="009604A3">
      <w:pPr>
        <w:pStyle w:val="URExecSumparagraph"/>
      </w:pPr>
      <w:r>
        <w:t xml:space="preserve">Between PC15, the previous price control, and now, NI Water has reduced their efficiency gap with similar companies in England and Wales from </w:t>
      </w:r>
      <w:r w:rsidRPr="00883B7F">
        <w:t>22</w:t>
      </w:r>
      <w:r>
        <w:t>% to 6%.</w:t>
      </w:r>
      <w:r w:rsidR="003B7B1A">
        <w:t xml:space="preserve">  </w:t>
      </w:r>
      <w:r>
        <w:t>PC21 requires NI Water to close the remaining efficiency gap to similar companies in England and Wales by the end of 2025-26.  Operational efficiency improvements in PC21 will save consumers £</w:t>
      </w:r>
      <w:r w:rsidR="00FF5ACE">
        <w:t>62</w:t>
      </w:r>
      <w:r>
        <w:t>m over the price control period.</w:t>
      </w:r>
    </w:p>
    <w:p w14:paraId="09F08FE1" w14:textId="53F1B879" w:rsidR="009604A3" w:rsidRDefault="009604A3" w:rsidP="009604A3">
      <w:pPr>
        <w:pStyle w:val="URExecSumparagraph"/>
      </w:pPr>
      <w:r>
        <w:lastRenderedPageBreak/>
        <w:t xml:space="preserve">Figure 1 shows the profile of operational costs since our first price control, PC10.  Additional increases at the start of PC21 (such as increased business rates) means </w:t>
      </w:r>
      <w:r w:rsidR="00E647F2">
        <w:t xml:space="preserve">NI Water’s </w:t>
      </w:r>
      <w:r>
        <w:t xml:space="preserve">costs will rise in the first year of PC21, before levelling out due to efficiency improvements over the price control period. </w:t>
      </w:r>
    </w:p>
    <w:p w14:paraId="6CCC561F" w14:textId="77777777" w:rsidR="009604A3" w:rsidRDefault="009604A3" w:rsidP="009604A3">
      <w:pPr>
        <w:pStyle w:val="URExecSumparagraph"/>
      </w:pPr>
      <w:r w:rsidRPr="00E432CC">
        <w:rPr>
          <w:noProof/>
          <w:lang w:bidi="ar-SA"/>
        </w:rPr>
        <w:drawing>
          <wp:inline distT="0" distB="0" distL="0" distR="0" wp14:anchorId="3029E0B0" wp14:editId="519D859F">
            <wp:extent cx="5734050" cy="260411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2604111"/>
                    </a:xfrm>
                    <a:prstGeom prst="rect">
                      <a:avLst/>
                    </a:prstGeom>
                    <a:noFill/>
                    <a:ln>
                      <a:noFill/>
                    </a:ln>
                  </pic:spPr>
                </pic:pic>
              </a:graphicData>
            </a:graphic>
          </wp:inline>
        </w:drawing>
      </w:r>
    </w:p>
    <w:p w14:paraId="7610C39E" w14:textId="6D8852BA" w:rsidR="009604A3" w:rsidRPr="00517C1C" w:rsidRDefault="009604A3" w:rsidP="00852D82">
      <w:pPr>
        <w:pStyle w:val="Caption"/>
        <w:ind w:left="0"/>
        <w:jc w:val="center"/>
      </w:pPr>
      <w:bookmarkStart w:id="0" w:name="_Ref71533846"/>
      <w:r w:rsidRPr="00517C1C">
        <w:t xml:space="preserve">Figure </w:t>
      </w:r>
      <w:bookmarkEnd w:id="0"/>
      <w:r w:rsidR="00517C1C" w:rsidRPr="00517C1C">
        <w:t>1</w:t>
      </w:r>
      <w:r w:rsidRPr="00517C1C">
        <w:t>:  Actual and determined expenditure for PC10 to PC21.</w:t>
      </w:r>
    </w:p>
    <w:p w14:paraId="7C2D7503" w14:textId="77777777" w:rsidR="009604A3" w:rsidRPr="00055078" w:rsidRDefault="009604A3" w:rsidP="009604A3">
      <w:pPr>
        <w:pStyle w:val="URExecSumparagraph"/>
        <w:rPr>
          <w:b/>
        </w:rPr>
      </w:pPr>
      <w:r w:rsidRPr="00055078">
        <w:rPr>
          <w:b/>
        </w:rPr>
        <w:t>Capital expenditure</w:t>
      </w:r>
    </w:p>
    <w:p w14:paraId="76EEF497" w14:textId="3C93854E" w:rsidR="009604A3" w:rsidRDefault="009604A3" w:rsidP="009604A3">
      <w:pPr>
        <w:pStyle w:val="URExecSumparagraph"/>
      </w:pPr>
      <w:r>
        <w:t xml:space="preserve">This price control includes capital investment </w:t>
      </w:r>
      <w:r w:rsidRPr="00800358">
        <w:t xml:space="preserve">of </w:t>
      </w:r>
      <w:r>
        <w:t>£2,086m in nominal terms (</w:t>
      </w:r>
      <w:r w:rsidRPr="00800358">
        <w:t>£1,</w:t>
      </w:r>
      <w:r>
        <w:t>820</w:t>
      </w:r>
      <w:r w:rsidRPr="00800358">
        <w:t>m in</w:t>
      </w:r>
      <w:r>
        <w:t xml:space="preserve"> 2018-19 prices)</w:t>
      </w:r>
      <w:r w:rsidR="003B7B1A">
        <w:t>.  This</w:t>
      </w:r>
      <w:r>
        <w:t xml:space="preserve"> includ</w:t>
      </w:r>
      <w:r w:rsidR="003B7B1A">
        <w:t>es</w:t>
      </w:r>
      <w:r>
        <w:t xml:space="preserve"> </w:t>
      </w:r>
      <w:r w:rsidR="003B7B1A">
        <w:t xml:space="preserve">investment of </w:t>
      </w:r>
      <w:r>
        <w:t>£529m (</w:t>
      </w:r>
      <w:r w:rsidR="003B7B1A">
        <w:t xml:space="preserve">in </w:t>
      </w:r>
      <w:r>
        <w:t>nominal</w:t>
      </w:r>
      <w:r w:rsidR="003B7B1A">
        <w:t xml:space="preserve"> terms</w:t>
      </w:r>
      <w:r>
        <w:t xml:space="preserve">) of as part of the Living with Water Programme. </w:t>
      </w:r>
      <w:r w:rsidR="003B7B1A">
        <w:t xml:space="preserve"> </w:t>
      </w:r>
      <w:r>
        <w:t xml:space="preserve">Our determination for capital expenditure is </w:t>
      </w:r>
      <w:r w:rsidR="003B7B1A">
        <w:t>5.5</w:t>
      </w:r>
      <w:r>
        <w:t xml:space="preserve">% lower than the </w:t>
      </w:r>
      <w:proofErr w:type="gramStart"/>
      <w:r>
        <w:t>company’s</w:t>
      </w:r>
      <w:proofErr w:type="gramEnd"/>
      <w:r>
        <w:t xml:space="preserve"> </w:t>
      </w:r>
      <w:r w:rsidR="003B7B1A">
        <w:t xml:space="preserve">updated </w:t>
      </w:r>
      <w:r>
        <w:t>proposals</w:t>
      </w:r>
      <w:r w:rsidR="003B7B1A">
        <w:t xml:space="preserve"> for PC21</w:t>
      </w:r>
      <w:r>
        <w:t>.</w:t>
      </w:r>
    </w:p>
    <w:p w14:paraId="482A327A" w14:textId="6F347E48" w:rsidR="009604A3" w:rsidRDefault="009604A3" w:rsidP="009604A3">
      <w:pPr>
        <w:pStyle w:val="URExecSumparagraph"/>
      </w:pPr>
      <w:r>
        <w:t xml:space="preserve">Over the PC21 price control period, </w:t>
      </w:r>
      <w:r w:rsidRPr="00A66416">
        <w:t>£</w:t>
      </w:r>
      <w:r>
        <w:t>816</w:t>
      </w:r>
      <w:r w:rsidRPr="00A66416">
        <w:t>m (</w:t>
      </w:r>
      <w:r>
        <w:t>45</w:t>
      </w:r>
      <w:r w:rsidRPr="00A66416">
        <w:t xml:space="preserve">%) of capital investment </w:t>
      </w:r>
      <w:r>
        <w:t>(in nominal terms) will be</w:t>
      </w:r>
      <w:r w:rsidRPr="00A66416">
        <w:t xml:space="preserve"> required to maintain the existing assets and</w:t>
      </w:r>
      <w:r>
        <w:t xml:space="preserve"> the service NI Water currently delivers.  The remainder will enhance capacity and service including addressing development constraints.</w:t>
      </w:r>
    </w:p>
    <w:p w14:paraId="4BDD80D9" w14:textId="6E9C1739" w:rsidR="003B7B1A" w:rsidRDefault="00E647F2" w:rsidP="009604A3">
      <w:pPr>
        <w:pStyle w:val="URExecSumparagraph"/>
      </w:pPr>
      <w:r>
        <w:t>D</w:t>
      </w:r>
      <w:r w:rsidR="003B7B1A">
        <w:t xml:space="preserve">evelopment work </w:t>
      </w:r>
      <w:r>
        <w:t xml:space="preserve">will also be </w:t>
      </w:r>
      <w:r w:rsidR="003B7B1A">
        <w:t>necessary to confirm efficient costs for investment for parts of the capital programme at the PC21 Mid-term Review.</w:t>
      </w:r>
    </w:p>
    <w:p w14:paraId="15DF4246" w14:textId="77777777" w:rsidR="009604A3" w:rsidRPr="00055078" w:rsidRDefault="009604A3" w:rsidP="009604A3">
      <w:pPr>
        <w:pStyle w:val="URExecSumparagraph"/>
        <w:rPr>
          <w:b/>
        </w:rPr>
      </w:pPr>
      <w:r w:rsidRPr="00055078">
        <w:rPr>
          <w:b/>
        </w:rPr>
        <w:t>Revenue and bills</w:t>
      </w:r>
    </w:p>
    <w:p w14:paraId="30FE23A3" w14:textId="026DD6E8" w:rsidR="009604A3" w:rsidRPr="00A66416" w:rsidRDefault="009604A3" w:rsidP="009604A3">
      <w:pPr>
        <w:pStyle w:val="URExecSumparagraph"/>
      </w:pPr>
      <w:r w:rsidRPr="00A66416">
        <w:t xml:space="preserve">We have determined a cost of capital of </w:t>
      </w:r>
      <w:r>
        <w:t>2.0</w:t>
      </w:r>
      <w:r w:rsidRPr="00A66416">
        <w:t xml:space="preserve">% (average) over PC21.  This is lower than the company’s </w:t>
      </w:r>
      <w:r>
        <w:t>b</w:t>
      </w:r>
      <w:r w:rsidRPr="00A66416">
        <w:t xml:space="preserve">usiness </w:t>
      </w:r>
      <w:r>
        <w:t>p</w:t>
      </w:r>
      <w:r w:rsidRPr="00A66416">
        <w:t xml:space="preserve">lan and </w:t>
      </w:r>
      <w:r>
        <w:t xml:space="preserve">will </w:t>
      </w:r>
      <w:r w:rsidRPr="00A66416">
        <w:t xml:space="preserve">save </w:t>
      </w:r>
      <w:r>
        <w:t xml:space="preserve">consumers </w:t>
      </w:r>
      <w:r w:rsidRPr="00A66416">
        <w:t>£1</w:t>
      </w:r>
      <w:r>
        <w:t>35</w:t>
      </w:r>
      <w:r w:rsidRPr="00A66416">
        <w:t>m in revenue (nominal).</w:t>
      </w:r>
    </w:p>
    <w:p w14:paraId="20AA0480" w14:textId="77777777" w:rsidR="009604A3" w:rsidRPr="00A66416" w:rsidRDefault="009604A3" w:rsidP="009604A3">
      <w:pPr>
        <w:pStyle w:val="URExecSumparagraph"/>
      </w:pPr>
      <w:r w:rsidRPr="00A66416">
        <w:t xml:space="preserve">The increase in capital investment in PC21 </w:t>
      </w:r>
      <w:proofErr w:type="gramStart"/>
      <w:r w:rsidRPr="00A66416">
        <w:t>is financed</w:t>
      </w:r>
      <w:proofErr w:type="gramEnd"/>
      <w:r w:rsidRPr="00A66416">
        <w:t xml:space="preserve"> through debt and equity that will be paid for by all consumers over the long term.  To ensure that today’s consumers make a </w:t>
      </w:r>
      <w:r>
        <w:t>balanced</w:t>
      </w:r>
      <w:r w:rsidRPr="00A66416">
        <w:t xml:space="preserve"> contribution towards the repayment of this investment</w:t>
      </w:r>
      <w:r>
        <w:t>,</w:t>
      </w:r>
      <w:r w:rsidRPr="00A66416">
        <w:t xml:space="preserve"> we have included additional revenue of £</w:t>
      </w:r>
      <w:r>
        <w:t>128</w:t>
      </w:r>
      <w:r w:rsidRPr="00A66416">
        <w:t>m in PC21.</w:t>
      </w:r>
    </w:p>
    <w:p w14:paraId="357B65A3" w14:textId="0D3863EE" w:rsidR="009604A3" w:rsidRDefault="009604A3" w:rsidP="009604A3">
      <w:pPr>
        <w:pStyle w:val="URExecSumparagraph"/>
      </w:pPr>
      <w:r>
        <w:lastRenderedPageBreak/>
        <w:t>Final d</w:t>
      </w:r>
      <w:r w:rsidRPr="00A66416">
        <w:t xml:space="preserve">etermined revenue for PC21 </w:t>
      </w:r>
      <w:r>
        <w:t>of</w:t>
      </w:r>
      <w:r w:rsidRPr="00A66416">
        <w:t xml:space="preserve"> £2.</w:t>
      </w:r>
      <w:r>
        <w:t>7</w:t>
      </w:r>
      <w:r w:rsidRPr="00A66416">
        <w:t xml:space="preserve">bn is </w:t>
      </w:r>
      <w:r>
        <w:t xml:space="preserve">£0.1bn lower </w:t>
      </w:r>
      <w:r w:rsidRPr="00A66416">
        <w:t>th</w:t>
      </w:r>
      <w:r>
        <w:t>an the</w:t>
      </w:r>
      <w:r w:rsidRPr="00A66416">
        <w:t xml:space="preserve"> company’s </w:t>
      </w:r>
      <w:r w:rsidR="003B7B1A">
        <w:t>b</w:t>
      </w:r>
      <w:r w:rsidR="003B7B1A" w:rsidRPr="00A66416">
        <w:t xml:space="preserve">usiness </w:t>
      </w:r>
      <w:r w:rsidR="003B7B1A">
        <w:t>p</w:t>
      </w:r>
      <w:r w:rsidR="003B7B1A" w:rsidRPr="00A66416">
        <w:t>lan</w:t>
      </w:r>
      <w:r w:rsidR="003B7B1A">
        <w:t xml:space="preserve"> </w:t>
      </w:r>
      <w:r>
        <w:t xml:space="preserve">and </w:t>
      </w:r>
      <w:r w:rsidR="003B7B1A">
        <w:t>our d</w:t>
      </w:r>
      <w:r>
        <w:t xml:space="preserve">raft </w:t>
      </w:r>
      <w:r w:rsidR="003B7B1A">
        <w:t>d</w:t>
      </w:r>
      <w:r>
        <w:t>etermination mainly due to lower inflation forecasts</w:t>
      </w:r>
      <w:r w:rsidRPr="00A66416">
        <w:t xml:space="preserve">.  </w:t>
      </w:r>
      <w:r w:rsidR="00164F1F" w:rsidRPr="00164F1F">
        <w:t>The overall weighted average price limits (K factors) are zero in real terms relative to RPI</w:t>
      </w:r>
      <w:r w:rsidR="001B77A9">
        <w:t xml:space="preserve">, </w:t>
      </w:r>
      <w:r w:rsidR="00164F1F" w:rsidRPr="00164F1F">
        <w:t>apart from 2021-22 in which tariffs were approved prior to the this Final Determination.</w:t>
      </w:r>
      <w:r w:rsidR="00164F1F">
        <w:t xml:space="preserve">  </w:t>
      </w:r>
      <w:r>
        <w:t xml:space="preserve">The impact on typical water and sewerage bills </w:t>
      </w:r>
      <w:proofErr w:type="gramStart"/>
      <w:r>
        <w:t xml:space="preserve">is </w:t>
      </w:r>
      <w:r w:rsidRPr="00A66416">
        <w:t>shown</w:t>
      </w:r>
      <w:proofErr w:type="gramEnd"/>
      <w:r w:rsidRPr="00A66416">
        <w:t xml:space="preserve"> below.</w:t>
      </w:r>
    </w:p>
    <w:p w14:paraId="475E6306" w14:textId="77777777" w:rsidR="00FF1D27" w:rsidRPr="00A66416" w:rsidRDefault="00FF1D27" w:rsidP="00FF1D27">
      <w:pPr>
        <w:pStyle w:val="URExecSumparagraph"/>
        <w:spacing w:after="0"/>
      </w:pPr>
    </w:p>
    <w:tbl>
      <w:tblPr>
        <w:tblpPr w:leftFromText="180" w:rightFromText="180" w:vertAnchor="text" w:horzAnchor="page" w:tblpX="1417" w:tblpY="-169"/>
        <w:tblW w:w="919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3104"/>
        <w:gridCol w:w="2031"/>
        <w:gridCol w:w="2032"/>
        <w:gridCol w:w="2032"/>
      </w:tblGrid>
      <w:tr w:rsidR="009604A3" w:rsidRPr="00A66416" w14:paraId="7127134F" w14:textId="77777777" w:rsidTr="009604A3">
        <w:tc>
          <w:tcPr>
            <w:tcW w:w="9199" w:type="dxa"/>
            <w:gridSpan w:val="4"/>
            <w:tcBorders>
              <w:bottom w:val="single" w:sz="12" w:space="0" w:color="FFFFFF" w:themeColor="background1"/>
            </w:tcBorders>
            <w:shd w:val="clear" w:color="auto" w:fill="7F7F7F"/>
            <w:vAlign w:val="center"/>
          </w:tcPr>
          <w:p w14:paraId="59F6EE76" w14:textId="6E9AD327" w:rsidR="009604A3" w:rsidRPr="00A66416" w:rsidRDefault="009604A3" w:rsidP="009604A3">
            <w:pPr>
              <w:pStyle w:val="URTabletext"/>
              <w:rPr>
                <w:b/>
                <w:color w:val="FFFFFF" w:themeColor="background1"/>
                <w:sz w:val="24"/>
              </w:rPr>
            </w:pPr>
            <w:r w:rsidRPr="00A66416">
              <w:rPr>
                <w:b/>
                <w:color w:val="FFFFFF" w:themeColor="background1"/>
                <w:sz w:val="24"/>
              </w:rPr>
              <w:t>Table 1:  Impact on typical consumer bills</w:t>
            </w:r>
            <w:r w:rsidR="003B7B1A">
              <w:rPr>
                <w:b/>
                <w:color w:val="FFFFFF" w:themeColor="background1"/>
                <w:sz w:val="24"/>
              </w:rPr>
              <w:t xml:space="preserve"> (£ in 2020-21 prices)</w:t>
            </w:r>
            <w:r w:rsidRPr="00A66416">
              <w:rPr>
                <w:b/>
                <w:color w:val="FFFFFF" w:themeColor="background1"/>
                <w:sz w:val="24"/>
              </w:rPr>
              <w:t>.</w:t>
            </w:r>
            <w:r w:rsidR="003B7B1A">
              <w:rPr>
                <w:b/>
                <w:color w:val="FFFFFF" w:themeColor="background1"/>
                <w:sz w:val="24"/>
              </w:rPr>
              <w:t xml:space="preserve"> </w:t>
            </w:r>
          </w:p>
        </w:tc>
      </w:tr>
      <w:tr w:rsidR="009604A3" w:rsidRPr="00A66416" w14:paraId="2224364A" w14:textId="77777777" w:rsidTr="009604A3">
        <w:tc>
          <w:tcPr>
            <w:tcW w:w="3104" w:type="dxa"/>
            <w:tcBorders>
              <w:top w:val="single" w:sz="12" w:space="0" w:color="FFFFFF" w:themeColor="background1"/>
              <w:right w:val="single" w:sz="12" w:space="0" w:color="FFFFFF" w:themeColor="background1"/>
            </w:tcBorders>
            <w:shd w:val="clear" w:color="auto" w:fill="7F7F7F"/>
            <w:vAlign w:val="center"/>
          </w:tcPr>
          <w:p w14:paraId="031CB3DD" w14:textId="77777777" w:rsidR="009604A3" w:rsidRPr="00A66416" w:rsidRDefault="009604A3" w:rsidP="009604A3">
            <w:pPr>
              <w:pStyle w:val="URTabletext"/>
              <w:rPr>
                <w:b/>
                <w:color w:val="FFFFFF" w:themeColor="background1"/>
                <w:sz w:val="24"/>
              </w:rPr>
            </w:pPr>
          </w:p>
        </w:tc>
        <w:tc>
          <w:tcPr>
            <w:tcW w:w="2031" w:type="dxa"/>
            <w:tcBorders>
              <w:top w:val="single" w:sz="12" w:space="0" w:color="FFFFFF" w:themeColor="background1"/>
              <w:left w:val="single" w:sz="12" w:space="0" w:color="FFFFFF" w:themeColor="background1"/>
              <w:right w:val="single" w:sz="12" w:space="0" w:color="FFFFFF" w:themeColor="background1"/>
            </w:tcBorders>
            <w:shd w:val="clear" w:color="auto" w:fill="7F7F7F"/>
            <w:vAlign w:val="center"/>
          </w:tcPr>
          <w:p w14:paraId="7F2CE9FE" w14:textId="77777777" w:rsidR="009604A3" w:rsidRPr="00A66416" w:rsidRDefault="009604A3" w:rsidP="009604A3">
            <w:pPr>
              <w:pStyle w:val="URTabletext"/>
              <w:jc w:val="center"/>
              <w:rPr>
                <w:b/>
                <w:color w:val="FFFFFF" w:themeColor="background1"/>
                <w:sz w:val="24"/>
              </w:rPr>
            </w:pPr>
            <w:r w:rsidRPr="00A66416">
              <w:rPr>
                <w:b/>
                <w:color w:val="FFFFFF" w:themeColor="background1"/>
                <w:sz w:val="24"/>
              </w:rPr>
              <w:t>Actual 2020-21</w:t>
            </w:r>
          </w:p>
        </w:tc>
        <w:tc>
          <w:tcPr>
            <w:tcW w:w="2032" w:type="dxa"/>
            <w:tcBorders>
              <w:top w:val="single" w:sz="12" w:space="0" w:color="FFFFFF" w:themeColor="background1"/>
              <w:left w:val="single" w:sz="12" w:space="0" w:color="FFFFFF" w:themeColor="background1"/>
              <w:right w:val="single" w:sz="12" w:space="0" w:color="FFFFFF" w:themeColor="background1"/>
            </w:tcBorders>
            <w:shd w:val="clear" w:color="auto" w:fill="7F7F7F"/>
            <w:vAlign w:val="center"/>
          </w:tcPr>
          <w:p w14:paraId="7919A4C4" w14:textId="77777777" w:rsidR="009604A3" w:rsidRPr="00A66416" w:rsidRDefault="009604A3" w:rsidP="009604A3">
            <w:pPr>
              <w:pStyle w:val="URTabletext"/>
              <w:jc w:val="center"/>
              <w:rPr>
                <w:b/>
                <w:color w:val="FFFFFF" w:themeColor="background1"/>
                <w:sz w:val="24"/>
              </w:rPr>
            </w:pPr>
            <w:r w:rsidRPr="00A66416">
              <w:rPr>
                <w:b/>
                <w:color w:val="FFFFFF" w:themeColor="background1"/>
                <w:sz w:val="24"/>
              </w:rPr>
              <w:t>Average bill over PC21</w:t>
            </w:r>
          </w:p>
        </w:tc>
        <w:tc>
          <w:tcPr>
            <w:tcW w:w="2032" w:type="dxa"/>
            <w:tcBorders>
              <w:top w:val="single" w:sz="12" w:space="0" w:color="FFFFFF" w:themeColor="background1"/>
              <w:left w:val="single" w:sz="12" w:space="0" w:color="FFFFFF" w:themeColor="background1"/>
            </w:tcBorders>
            <w:shd w:val="clear" w:color="auto" w:fill="7F7F7F"/>
            <w:vAlign w:val="center"/>
          </w:tcPr>
          <w:p w14:paraId="67D2EEE8" w14:textId="77777777" w:rsidR="009604A3" w:rsidRPr="00A66416" w:rsidRDefault="009604A3" w:rsidP="009604A3">
            <w:pPr>
              <w:pStyle w:val="URTabletext"/>
              <w:jc w:val="center"/>
              <w:rPr>
                <w:b/>
                <w:color w:val="FFFFFF" w:themeColor="background1"/>
                <w:sz w:val="24"/>
              </w:rPr>
            </w:pPr>
            <w:r w:rsidRPr="00A66416">
              <w:rPr>
                <w:b/>
                <w:color w:val="FFFFFF" w:themeColor="background1"/>
                <w:sz w:val="24"/>
              </w:rPr>
              <w:t>Change from 2020-21</w:t>
            </w:r>
          </w:p>
        </w:tc>
      </w:tr>
      <w:tr w:rsidR="009604A3" w:rsidRPr="00A66416" w14:paraId="79C2870A" w14:textId="77777777" w:rsidTr="009604A3">
        <w:tc>
          <w:tcPr>
            <w:tcW w:w="3104" w:type="dxa"/>
            <w:tcBorders>
              <w:left w:val="single" w:sz="12" w:space="0" w:color="7F7F7F"/>
            </w:tcBorders>
            <w:vAlign w:val="center"/>
          </w:tcPr>
          <w:p w14:paraId="62437FF6" w14:textId="77777777" w:rsidR="009604A3" w:rsidRPr="00A66416" w:rsidRDefault="009604A3" w:rsidP="009604A3">
            <w:pPr>
              <w:pStyle w:val="URTabletext"/>
            </w:pPr>
            <w:r w:rsidRPr="00A66416">
              <w:t xml:space="preserve">Average notional household </w:t>
            </w:r>
          </w:p>
        </w:tc>
        <w:tc>
          <w:tcPr>
            <w:tcW w:w="2031" w:type="dxa"/>
            <w:tcBorders>
              <w:left w:val="single" w:sz="12" w:space="0" w:color="7F7F7F"/>
            </w:tcBorders>
            <w:vAlign w:val="center"/>
          </w:tcPr>
          <w:p w14:paraId="5290DA5B" w14:textId="120FE57A" w:rsidR="009604A3" w:rsidRPr="00A66416" w:rsidRDefault="0051116A" w:rsidP="0051116A">
            <w:pPr>
              <w:pStyle w:val="URTabletext"/>
              <w:jc w:val="center"/>
            </w:pPr>
            <w:r w:rsidRPr="00A66416">
              <w:rPr>
                <w:color w:val="000000"/>
                <w:szCs w:val="22"/>
              </w:rPr>
              <w:t>42</w:t>
            </w:r>
            <w:r>
              <w:rPr>
                <w:color w:val="000000"/>
                <w:szCs w:val="22"/>
              </w:rPr>
              <w:t>1</w:t>
            </w:r>
          </w:p>
        </w:tc>
        <w:tc>
          <w:tcPr>
            <w:tcW w:w="2032" w:type="dxa"/>
            <w:tcBorders>
              <w:left w:val="single" w:sz="12" w:space="0" w:color="7F7F7F"/>
            </w:tcBorders>
            <w:vAlign w:val="center"/>
          </w:tcPr>
          <w:p w14:paraId="1A15B4AB" w14:textId="77777777" w:rsidR="009604A3" w:rsidRPr="00A66416" w:rsidRDefault="009604A3" w:rsidP="009604A3">
            <w:pPr>
              <w:pStyle w:val="URTabletext"/>
              <w:jc w:val="center"/>
            </w:pPr>
            <w:r w:rsidRPr="00A66416">
              <w:rPr>
                <w:color w:val="000000"/>
                <w:szCs w:val="22"/>
              </w:rPr>
              <w:t>4</w:t>
            </w:r>
            <w:r>
              <w:rPr>
                <w:color w:val="000000"/>
                <w:szCs w:val="22"/>
              </w:rPr>
              <w:t>16</w:t>
            </w:r>
          </w:p>
        </w:tc>
        <w:tc>
          <w:tcPr>
            <w:tcW w:w="2032" w:type="dxa"/>
            <w:tcBorders>
              <w:left w:val="single" w:sz="12" w:space="0" w:color="7F7F7F"/>
            </w:tcBorders>
            <w:vAlign w:val="center"/>
          </w:tcPr>
          <w:p w14:paraId="4DC0D545" w14:textId="6FF06890" w:rsidR="009604A3" w:rsidRPr="00A66416" w:rsidRDefault="009604A3" w:rsidP="0051116A">
            <w:pPr>
              <w:pStyle w:val="URTabletext"/>
              <w:jc w:val="center"/>
            </w:pPr>
            <w:r>
              <w:rPr>
                <w:color w:val="000000"/>
                <w:szCs w:val="22"/>
              </w:rPr>
              <w:t>-</w:t>
            </w:r>
            <w:r w:rsidR="0051116A">
              <w:rPr>
                <w:color w:val="000000"/>
                <w:szCs w:val="22"/>
              </w:rPr>
              <w:t>5</w:t>
            </w:r>
          </w:p>
        </w:tc>
      </w:tr>
      <w:tr w:rsidR="009604A3" w:rsidRPr="00A66416" w14:paraId="0EB3D3A2" w14:textId="77777777" w:rsidTr="009604A3">
        <w:tc>
          <w:tcPr>
            <w:tcW w:w="3104" w:type="dxa"/>
            <w:tcBorders>
              <w:left w:val="single" w:sz="12" w:space="0" w:color="7F7F7F"/>
            </w:tcBorders>
            <w:vAlign w:val="center"/>
          </w:tcPr>
          <w:p w14:paraId="36C375B5" w14:textId="77777777" w:rsidR="009604A3" w:rsidRPr="00A66416" w:rsidRDefault="009604A3" w:rsidP="009604A3">
            <w:pPr>
              <w:pStyle w:val="URTabletext"/>
            </w:pPr>
            <w:r w:rsidRPr="00A66416">
              <w:t>Typical unmetered</w:t>
            </w:r>
          </w:p>
        </w:tc>
        <w:tc>
          <w:tcPr>
            <w:tcW w:w="2031" w:type="dxa"/>
            <w:tcBorders>
              <w:left w:val="single" w:sz="12" w:space="0" w:color="7F7F7F"/>
            </w:tcBorders>
            <w:vAlign w:val="center"/>
          </w:tcPr>
          <w:p w14:paraId="038769F6" w14:textId="77777777" w:rsidR="009604A3" w:rsidRPr="00A66416" w:rsidRDefault="009604A3" w:rsidP="009604A3">
            <w:pPr>
              <w:pStyle w:val="URTabletext"/>
              <w:jc w:val="center"/>
            </w:pPr>
            <w:r w:rsidRPr="00A66416">
              <w:rPr>
                <w:color w:val="000000"/>
                <w:szCs w:val="22"/>
              </w:rPr>
              <w:t>298</w:t>
            </w:r>
          </w:p>
        </w:tc>
        <w:tc>
          <w:tcPr>
            <w:tcW w:w="2032" w:type="dxa"/>
            <w:tcBorders>
              <w:left w:val="single" w:sz="12" w:space="0" w:color="7F7F7F"/>
            </w:tcBorders>
            <w:vAlign w:val="center"/>
          </w:tcPr>
          <w:p w14:paraId="7CF8C799" w14:textId="77777777" w:rsidR="009604A3" w:rsidRPr="00A66416" w:rsidRDefault="009604A3" w:rsidP="009604A3">
            <w:pPr>
              <w:pStyle w:val="URTabletext"/>
              <w:jc w:val="center"/>
            </w:pPr>
            <w:r>
              <w:rPr>
                <w:color w:val="000000"/>
                <w:szCs w:val="22"/>
              </w:rPr>
              <w:t>293</w:t>
            </w:r>
          </w:p>
        </w:tc>
        <w:tc>
          <w:tcPr>
            <w:tcW w:w="2032" w:type="dxa"/>
            <w:tcBorders>
              <w:left w:val="single" w:sz="12" w:space="0" w:color="7F7F7F"/>
            </w:tcBorders>
            <w:vAlign w:val="center"/>
          </w:tcPr>
          <w:p w14:paraId="6F0E327D" w14:textId="77777777" w:rsidR="009604A3" w:rsidRPr="00A66416" w:rsidRDefault="009604A3" w:rsidP="009604A3">
            <w:pPr>
              <w:pStyle w:val="URTabletext"/>
              <w:jc w:val="center"/>
            </w:pPr>
            <w:r>
              <w:rPr>
                <w:color w:val="000000"/>
                <w:szCs w:val="22"/>
              </w:rPr>
              <w:t>-5</w:t>
            </w:r>
          </w:p>
        </w:tc>
      </w:tr>
      <w:tr w:rsidR="009604A3" w:rsidRPr="00A66416" w14:paraId="2AFEF12D" w14:textId="77777777" w:rsidTr="009604A3">
        <w:tc>
          <w:tcPr>
            <w:tcW w:w="3104" w:type="dxa"/>
            <w:tcBorders>
              <w:left w:val="single" w:sz="12" w:space="0" w:color="7F7F7F"/>
            </w:tcBorders>
            <w:vAlign w:val="center"/>
          </w:tcPr>
          <w:p w14:paraId="23CAA8D2" w14:textId="77777777" w:rsidR="009604A3" w:rsidRPr="00A66416" w:rsidRDefault="009604A3" w:rsidP="009604A3">
            <w:pPr>
              <w:pStyle w:val="URTabletext"/>
            </w:pPr>
            <w:r w:rsidRPr="00A66416">
              <w:t>Typical small metered</w:t>
            </w:r>
          </w:p>
        </w:tc>
        <w:tc>
          <w:tcPr>
            <w:tcW w:w="2031" w:type="dxa"/>
            <w:tcBorders>
              <w:left w:val="single" w:sz="12" w:space="0" w:color="7F7F7F"/>
            </w:tcBorders>
            <w:vAlign w:val="center"/>
          </w:tcPr>
          <w:p w14:paraId="30BB5842" w14:textId="77777777" w:rsidR="009604A3" w:rsidRPr="00A66416" w:rsidRDefault="009604A3" w:rsidP="009604A3">
            <w:pPr>
              <w:pStyle w:val="URTabletext"/>
              <w:jc w:val="center"/>
            </w:pPr>
            <w:r w:rsidRPr="00A66416">
              <w:rPr>
                <w:color w:val="000000"/>
                <w:szCs w:val="22"/>
              </w:rPr>
              <w:t>397</w:t>
            </w:r>
          </w:p>
        </w:tc>
        <w:tc>
          <w:tcPr>
            <w:tcW w:w="2032" w:type="dxa"/>
            <w:tcBorders>
              <w:left w:val="single" w:sz="12" w:space="0" w:color="7F7F7F"/>
            </w:tcBorders>
            <w:vAlign w:val="center"/>
          </w:tcPr>
          <w:p w14:paraId="1E3598E5" w14:textId="77777777" w:rsidR="009604A3" w:rsidRPr="00A66416" w:rsidRDefault="009604A3" w:rsidP="009604A3">
            <w:pPr>
              <w:pStyle w:val="URTabletext"/>
              <w:jc w:val="center"/>
            </w:pPr>
            <w:r w:rsidRPr="00A66416">
              <w:rPr>
                <w:color w:val="000000"/>
                <w:szCs w:val="22"/>
              </w:rPr>
              <w:t>37</w:t>
            </w:r>
            <w:r>
              <w:rPr>
                <w:color w:val="000000"/>
                <w:szCs w:val="22"/>
              </w:rPr>
              <w:t>8</w:t>
            </w:r>
          </w:p>
        </w:tc>
        <w:tc>
          <w:tcPr>
            <w:tcW w:w="2032" w:type="dxa"/>
            <w:tcBorders>
              <w:left w:val="single" w:sz="12" w:space="0" w:color="7F7F7F"/>
            </w:tcBorders>
            <w:vAlign w:val="center"/>
          </w:tcPr>
          <w:p w14:paraId="09375685" w14:textId="77777777" w:rsidR="009604A3" w:rsidRPr="00A66416" w:rsidRDefault="009604A3" w:rsidP="009604A3">
            <w:pPr>
              <w:pStyle w:val="URTabletext"/>
              <w:jc w:val="center"/>
            </w:pPr>
            <w:r w:rsidRPr="00A66416">
              <w:rPr>
                <w:color w:val="000000"/>
                <w:szCs w:val="22"/>
              </w:rPr>
              <w:t>-</w:t>
            </w:r>
            <w:r>
              <w:rPr>
                <w:color w:val="000000"/>
                <w:szCs w:val="22"/>
              </w:rPr>
              <w:t>19</w:t>
            </w:r>
          </w:p>
        </w:tc>
      </w:tr>
      <w:tr w:rsidR="009604A3" w:rsidRPr="00A66416" w14:paraId="1B50DA3C" w14:textId="77777777" w:rsidTr="009604A3">
        <w:tc>
          <w:tcPr>
            <w:tcW w:w="3104" w:type="dxa"/>
            <w:tcBorders>
              <w:left w:val="single" w:sz="12" w:space="0" w:color="7F7F7F"/>
            </w:tcBorders>
            <w:vAlign w:val="center"/>
          </w:tcPr>
          <w:p w14:paraId="1177226B" w14:textId="77777777" w:rsidR="009604A3" w:rsidRPr="00A66416" w:rsidRDefault="009604A3" w:rsidP="009604A3">
            <w:pPr>
              <w:pStyle w:val="URTabletext"/>
            </w:pPr>
            <w:r w:rsidRPr="00A66416">
              <w:t>Typical large metered</w:t>
            </w:r>
          </w:p>
        </w:tc>
        <w:tc>
          <w:tcPr>
            <w:tcW w:w="2031" w:type="dxa"/>
            <w:tcBorders>
              <w:left w:val="single" w:sz="12" w:space="0" w:color="7F7F7F"/>
            </w:tcBorders>
            <w:vAlign w:val="center"/>
          </w:tcPr>
          <w:p w14:paraId="227018E6" w14:textId="77777777" w:rsidR="009604A3" w:rsidRPr="00A66416" w:rsidRDefault="009604A3" w:rsidP="009604A3">
            <w:pPr>
              <w:pStyle w:val="URTabletext"/>
              <w:jc w:val="center"/>
            </w:pPr>
            <w:r w:rsidRPr="00A66416">
              <w:rPr>
                <w:color w:val="000000"/>
                <w:szCs w:val="22"/>
              </w:rPr>
              <w:t>3647</w:t>
            </w:r>
          </w:p>
        </w:tc>
        <w:tc>
          <w:tcPr>
            <w:tcW w:w="2032" w:type="dxa"/>
            <w:tcBorders>
              <w:left w:val="single" w:sz="12" w:space="0" w:color="7F7F7F"/>
            </w:tcBorders>
            <w:vAlign w:val="center"/>
          </w:tcPr>
          <w:p w14:paraId="4177E19B" w14:textId="77777777" w:rsidR="009604A3" w:rsidRPr="00A66416" w:rsidRDefault="009604A3" w:rsidP="009604A3">
            <w:pPr>
              <w:pStyle w:val="URTabletext"/>
              <w:jc w:val="center"/>
            </w:pPr>
            <w:r w:rsidRPr="00A66416">
              <w:rPr>
                <w:color w:val="000000"/>
                <w:szCs w:val="22"/>
              </w:rPr>
              <w:t>34</w:t>
            </w:r>
            <w:r>
              <w:rPr>
                <w:color w:val="000000"/>
                <w:szCs w:val="22"/>
              </w:rPr>
              <w:t>76</w:t>
            </w:r>
          </w:p>
        </w:tc>
        <w:tc>
          <w:tcPr>
            <w:tcW w:w="2032" w:type="dxa"/>
            <w:tcBorders>
              <w:left w:val="single" w:sz="12" w:space="0" w:color="7F7F7F"/>
            </w:tcBorders>
            <w:vAlign w:val="center"/>
          </w:tcPr>
          <w:p w14:paraId="2F16DE09" w14:textId="77777777" w:rsidR="009604A3" w:rsidRPr="00A66416" w:rsidRDefault="009604A3" w:rsidP="009604A3">
            <w:pPr>
              <w:pStyle w:val="URTabletext"/>
              <w:jc w:val="center"/>
            </w:pPr>
            <w:r w:rsidRPr="00A66416">
              <w:rPr>
                <w:color w:val="000000"/>
                <w:szCs w:val="22"/>
              </w:rPr>
              <w:t>-</w:t>
            </w:r>
            <w:r>
              <w:rPr>
                <w:color w:val="000000"/>
                <w:szCs w:val="22"/>
              </w:rPr>
              <w:t>171</w:t>
            </w:r>
          </w:p>
        </w:tc>
      </w:tr>
    </w:tbl>
    <w:p w14:paraId="07D0F6E8" w14:textId="77777777" w:rsidR="009604A3" w:rsidRPr="00A66416" w:rsidRDefault="009604A3" w:rsidP="009604A3">
      <w:pPr>
        <w:pStyle w:val="URExecSumparagraph"/>
        <w:spacing w:before="240"/>
        <w:rPr>
          <w:b/>
        </w:rPr>
      </w:pPr>
      <w:r w:rsidRPr="00A66416">
        <w:rPr>
          <w:b/>
        </w:rPr>
        <w:t xml:space="preserve">Key benefits </w:t>
      </w:r>
    </w:p>
    <w:p w14:paraId="769CE437" w14:textId="77777777" w:rsidR="009604A3" w:rsidRPr="00A66416" w:rsidRDefault="009604A3" w:rsidP="009604A3">
      <w:pPr>
        <w:pStyle w:val="URExecSumparagraph"/>
      </w:pPr>
      <w:r w:rsidRPr="00A66416">
        <w:t>Our proposals will result in:</w:t>
      </w:r>
    </w:p>
    <w:p w14:paraId="7BEC0C2F" w14:textId="0C13DDCB" w:rsidR="009604A3" w:rsidRPr="00A66416" w:rsidRDefault="009604A3" w:rsidP="009604A3">
      <w:pPr>
        <w:pStyle w:val="URExecSumparagraph"/>
        <w:numPr>
          <w:ilvl w:val="0"/>
          <w:numId w:val="44"/>
        </w:numPr>
      </w:pPr>
      <w:r w:rsidRPr="00A66416">
        <w:rPr>
          <w:b/>
        </w:rPr>
        <w:t>Increased investment in water and wastewater services:</w:t>
      </w:r>
      <w:r w:rsidRPr="00A66416">
        <w:t xml:space="preserve">  NI Water will begin to address a lack of capacity in wastewater services and start to r</w:t>
      </w:r>
      <w:r w:rsidR="003C39A3">
        <w:t>elieve development constraints.</w:t>
      </w:r>
    </w:p>
    <w:p w14:paraId="299C712B" w14:textId="77777777" w:rsidR="009604A3" w:rsidRPr="00A66416" w:rsidRDefault="009604A3" w:rsidP="009604A3">
      <w:pPr>
        <w:pStyle w:val="URExecSumparagraph"/>
        <w:numPr>
          <w:ilvl w:val="0"/>
          <w:numId w:val="44"/>
        </w:numPr>
      </w:pPr>
      <w:r w:rsidRPr="00A66416">
        <w:rPr>
          <w:b/>
        </w:rPr>
        <w:t>Lower costs of financing investment:</w:t>
      </w:r>
      <w:r w:rsidRPr="00A66416">
        <w:t xml:space="preserve">  A reduction in the cost of financing investment will save consumers £1</w:t>
      </w:r>
      <w:r>
        <w:t>35</w:t>
      </w:r>
      <w:r w:rsidRPr="00A66416">
        <w:t>m.</w:t>
      </w:r>
    </w:p>
    <w:p w14:paraId="71AE4F77" w14:textId="4A8FB144" w:rsidR="009604A3" w:rsidRDefault="009604A3" w:rsidP="009604A3">
      <w:pPr>
        <w:pStyle w:val="URExecSumparagraph"/>
        <w:numPr>
          <w:ilvl w:val="0"/>
          <w:numId w:val="44"/>
        </w:numPr>
      </w:pPr>
      <w:r w:rsidRPr="00220C9D">
        <w:rPr>
          <w:b/>
        </w:rPr>
        <w:t>Improved efficiency:</w:t>
      </w:r>
      <w:r>
        <w:t xml:space="preserve">  By the end of PC21 NI Water will operate at an equivalent level of efficiency to the upper quartile of similar companies in England and Wales at today’s level.</w:t>
      </w:r>
    </w:p>
    <w:p w14:paraId="472B880F" w14:textId="71E86515" w:rsidR="009604A3" w:rsidRDefault="009604A3" w:rsidP="009604A3">
      <w:pPr>
        <w:pStyle w:val="URExecSumparagraph"/>
        <w:numPr>
          <w:ilvl w:val="0"/>
          <w:numId w:val="44"/>
        </w:numPr>
      </w:pPr>
      <w:r w:rsidRPr="00220C9D">
        <w:rPr>
          <w:b/>
        </w:rPr>
        <w:t>Improved service:</w:t>
      </w:r>
      <w:r>
        <w:t xml:space="preserve">  Existing performance measures for pressure, interruptions to supply</w:t>
      </w:r>
      <w:r w:rsidR="003B7B1A">
        <w:t xml:space="preserve">, </w:t>
      </w:r>
      <w:r>
        <w:t xml:space="preserve">flooding </w:t>
      </w:r>
      <w:r w:rsidR="003B7B1A">
        <w:t xml:space="preserve">risk and </w:t>
      </w:r>
      <w:r>
        <w:t>pollution incidents will improve.  New consumer service measures and targets will drive incremental and continuous improvement, with an increased focus on vulnerable consumers.</w:t>
      </w:r>
    </w:p>
    <w:p w14:paraId="6C0F7CCA" w14:textId="6266804D" w:rsidR="009604A3" w:rsidRDefault="009604A3" w:rsidP="009604A3">
      <w:pPr>
        <w:pStyle w:val="URExecSumparagraph"/>
        <w:numPr>
          <w:ilvl w:val="0"/>
          <w:numId w:val="44"/>
        </w:numPr>
      </w:pPr>
      <w:r>
        <w:rPr>
          <w:b/>
        </w:rPr>
        <w:t>Consumer Protection Programme (CPP):</w:t>
      </w:r>
      <w:r>
        <w:t xml:space="preserve"> </w:t>
      </w:r>
      <w:r w:rsidRPr="00964949">
        <w:rPr>
          <w:color w:val="auto"/>
        </w:rPr>
        <w:t xml:space="preserve">Our determination recognises that vulnerable domestic consumers require additional support </w:t>
      </w:r>
      <w:r w:rsidR="00334B4A">
        <w:rPr>
          <w:color w:val="auto"/>
        </w:rPr>
        <w:t>through</w:t>
      </w:r>
      <w:r w:rsidRPr="00964949">
        <w:rPr>
          <w:color w:val="auto"/>
        </w:rPr>
        <w:t xml:space="preserve"> bespoke regulatory and company interventions.</w:t>
      </w:r>
      <w:r>
        <w:rPr>
          <w:color w:val="auto"/>
        </w:rPr>
        <w:t xml:space="preserve">  </w:t>
      </w:r>
      <w:r w:rsidRPr="00964949">
        <w:rPr>
          <w:color w:val="auto"/>
        </w:rPr>
        <w:t>Th</w:t>
      </w:r>
      <w:r>
        <w:rPr>
          <w:color w:val="auto"/>
        </w:rPr>
        <w:t xml:space="preserve">is includes </w:t>
      </w:r>
      <w:r w:rsidRPr="00964949">
        <w:rPr>
          <w:color w:val="auto"/>
        </w:rPr>
        <w:t xml:space="preserve">activities such as vulnerable consumer identification, assistance, staff training, </w:t>
      </w:r>
      <w:r w:rsidR="00297BD2">
        <w:rPr>
          <w:color w:val="auto"/>
        </w:rPr>
        <w:t>Customer C</w:t>
      </w:r>
      <w:r w:rsidRPr="00964949">
        <w:rPr>
          <w:color w:val="auto"/>
        </w:rPr>
        <w:t xml:space="preserve">are </w:t>
      </w:r>
      <w:r w:rsidR="00297BD2">
        <w:rPr>
          <w:color w:val="auto"/>
        </w:rPr>
        <w:t>R</w:t>
      </w:r>
      <w:r w:rsidRPr="00964949">
        <w:rPr>
          <w:color w:val="auto"/>
        </w:rPr>
        <w:t xml:space="preserve">egister delivery and monitoring and reporting. </w:t>
      </w:r>
      <w:r>
        <w:rPr>
          <w:color w:val="auto"/>
        </w:rPr>
        <w:t xml:space="preserve"> It </w:t>
      </w:r>
      <w:r w:rsidRPr="00964949">
        <w:rPr>
          <w:color w:val="auto"/>
        </w:rPr>
        <w:t>will extend into senior management leadership and company ethos around consumer vulnerability issues.</w:t>
      </w:r>
    </w:p>
    <w:p w14:paraId="1206E2C4" w14:textId="01A2DFDC" w:rsidR="007E5D76" w:rsidRDefault="007E5D76" w:rsidP="009604A3">
      <w:pPr>
        <w:pStyle w:val="URExecSumparagraph"/>
      </w:pPr>
    </w:p>
    <w:p w14:paraId="5251B865" w14:textId="1D4242BC" w:rsidR="009604A3" w:rsidRDefault="009604A3" w:rsidP="00FF1D27">
      <w:pPr>
        <w:pStyle w:val="URExecSumparagraph"/>
        <w:ind w:left="-993"/>
      </w:pPr>
      <w:r>
        <w:lastRenderedPageBreak/>
        <w:t xml:space="preserve">A summary of key outputs </w:t>
      </w:r>
      <w:r w:rsidR="00D510E7">
        <w:t>for</w:t>
      </w:r>
      <w:r>
        <w:t xml:space="preserve"> PC21 is included in Table 2.</w:t>
      </w:r>
    </w:p>
    <w:tbl>
      <w:tblPr>
        <w:tblStyle w:val="TableGrid"/>
        <w:tblW w:w="10491" w:type="dxa"/>
        <w:tblInd w:w="-998" w:type="dxa"/>
        <w:tblLook w:val="04A0" w:firstRow="1" w:lastRow="0" w:firstColumn="1" w:lastColumn="0" w:noHBand="0" w:noVBand="1"/>
      </w:tblPr>
      <w:tblGrid>
        <w:gridCol w:w="10491"/>
      </w:tblGrid>
      <w:tr w:rsidR="007E5D76" w:rsidRPr="005A5A9F" w14:paraId="50F95342" w14:textId="77777777" w:rsidTr="00D86619">
        <w:tc>
          <w:tcPr>
            <w:tcW w:w="10491" w:type="dxa"/>
            <w:shd w:val="clear" w:color="auto" w:fill="808080" w:themeFill="background1" w:themeFillShade="80"/>
          </w:tcPr>
          <w:p w14:paraId="6B9BBEF3" w14:textId="45B52BA2" w:rsidR="007E5D76" w:rsidRPr="005A5A9F" w:rsidRDefault="007E5D76" w:rsidP="00D86619">
            <w:pPr>
              <w:rPr>
                <w:b/>
                <w:color w:val="FFFFFF" w:themeColor="background1"/>
                <w:sz w:val="24"/>
                <w:szCs w:val="24"/>
              </w:rPr>
            </w:pPr>
            <w:r>
              <w:rPr>
                <w:b/>
                <w:color w:val="FFFFFF" w:themeColor="background1"/>
                <w:sz w:val="24"/>
                <w:szCs w:val="24"/>
              </w:rPr>
              <w:t xml:space="preserve">Table 2: </w:t>
            </w:r>
            <w:r w:rsidRPr="005A5A9F">
              <w:rPr>
                <w:b/>
                <w:color w:val="FFFFFF" w:themeColor="background1"/>
                <w:sz w:val="24"/>
                <w:szCs w:val="24"/>
              </w:rPr>
              <w:t xml:space="preserve"> Key outputs </w:t>
            </w:r>
            <w:r w:rsidR="00D86619">
              <w:rPr>
                <w:b/>
                <w:color w:val="FFFFFF" w:themeColor="background1"/>
                <w:sz w:val="24"/>
                <w:szCs w:val="24"/>
              </w:rPr>
              <w:t>for</w:t>
            </w:r>
            <w:r w:rsidRPr="005A5A9F">
              <w:rPr>
                <w:b/>
                <w:color w:val="FFFFFF" w:themeColor="background1"/>
                <w:sz w:val="24"/>
                <w:szCs w:val="24"/>
              </w:rPr>
              <w:t xml:space="preserve"> PC21</w:t>
            </w:r>
          </w:p>
        </w:tc>
      </w:tr>
      <w:tr w:rsidR="007E5D76" w14:paraId="0A7B1E54" w14:textId="77777777" w:rsidTr="00D86619">
        <w:tc>
          <w:tcPr>
            <w:tcW w:w="10491" w:type="dxa"/>
          </w:tcPr>
          <w:p w14:paraId="07FBE2DF" w14:textId="77777777" w:rsidR="007E5D76" w:rsidRPr="007E5D76" w:rsidRDefault="007E5D76" w:rsidP="007E5D76">
            <w:pPr>
              <w:pStyle w:val="URTabletext"/>
              <w:numPr>
                <w:ilvl w:val="0"/>
                <w:numId w:val="61"/>
              </w:numPr>
              <w:spacing w:before="0" w:after="0" w:line="276" w:lineRule="auto"/>
              <w:rPr>
                <w:sz w:val="24"/>
              </w:rPr>
            </w:pPr>
            <w:r w:rsidRPr="007E5D76">
              <w:rPr>
                <w:sz w:val="24"/>
              </w:rPr>
              <w:t>Investment of £816m in nominal terms to maintain the performance of the existing assets and the service they provide, delivering stable serviceability.</w:t>
            </w:r>
          </w:p>
          <w:p w14:paraId="653B3AF5" w14:textId="77777777" w:rsidR="007E5D76" w:rsidRDefault="007E5D76" w:rsidP="007E5D76">
            <w:pPr>
              <w:pStyle w:val="URTabletext"/>
              <w:numPr>
                <w:ilvl w:val="0"/>
                <w:numId w:val="45"/>
              </w:numPr>
              <w:spacing w:before="0" w:after="0" w:line="276" w:lineRule="auto"/>
              <w:ind w:left="306"/>
              <w:rPr>
                <w:sz w:val="24"/>
              </w:rPr>
            </w:pPr>
            <w:r>
              <w:rPr>
                <w:sz w:val="24"/>
              </w:rPr>
              <w:t>Further reductions in the number of properties at risk of sewer flooding, properties with low pressure, interruptions to supply and pollution incidents.</w:t>
            </w:r>
          </w:p>
          <w:p w14:paraId="2C51C0D1" w14:textId="77777777" w:rsidR="007E5D76" w:rsidRDefault="007E5D76" w:rsidP="007E5D76">
            <w:pPr>
              <w:pStyle w:val="URTabletext"/>
              <w:numPr>
                <w:ilvl w:val="0"/>
                <w:numId w:val="45"/>
              </w:numPr>
              <w:spacing w:before="0" w:after="0" w:line="276" w:lineRule="auto"/>
              <w:ind w:left="306" w:hanging="357"/>
              <w:rPr>
                <w:sz w:val="24"/>
              </w:rPr>
            </w:pPr>
            <w:r w:rsidRPr="00554231">
              <w:rPr>
                <w:sz w:val="24"/>
              </w:rPr>
              <w:t xml:space="preserve">Improving consumer service driven by new consumer measures </w:t>
            </w:r>
            <w:r>
              <w:rPr>
                <w:sz w:val="24"/>
              </w:rPr>
              <w:t xml:space="preserve">focusing on vulnerable consumers / Customer Care Register.  New headline </w:t>
            </w:r>
            <w:r w:rsidRPr="00554231">
              <w:rPr>
                <w:sz w:val="24"/>
              </w:rPr>
              <w:t xml:space="preserve">targets for </w:t>
            </w:r>
            <w:r>
              <w:rPr>
                <w:sz w:val="24"/>
              </w:rPr>
              <w:t>N</w:t>
            </w:r>
            <w:r w:rsidRPr="00554231">
              <w:rPr>
                <w:sz w:val="24"/>
              </w:rPr>
              <w:t xml:space="preserve">et </w:t>
            </w:r>
            <w:r>
              <w:rPr>
                <w:sz w:val="24"/>
              </w:rPr>
              <w:t>P</w:t>
            </w:r>
            <w:r w:rsidRPr="00554231">
              <w:rPr>
                <w:sz w:val="24"/>
              </w:rPr>
              <w:t xml:space="preserve">romoter </w:t>
            </w:r>
            <w:r>
              <w:rPr>
                <w:sz w:val="24"/>
              </w:rPr>
              <w:t>S</w:t>
            </w:r>
            <w:r w:rsidRPr="00554231">
              <w:rPr>
                <w:sz w:val="24"/>
              </w:rPr>
              <w:t>core</w:t>
            </w:r>
            <w:r>
              <w:rPr>
                <w:sz w:val="24"/>
              </w:rPr>
              <w:t xml:space="preserve">, rate of </w:t>
            </w:r>
            <w:r w:rsidRPr="00554231">
              <w:rPr>
                <w:sz w:val="24"/>
              </w:rPr>
              <w:t xml:space="preserve">first point of contact resolution </w:t>
            </w:r>
            <w:r>
              <w:rPr>
                <w:sz w:val="24"/>
              </w:rPr>
              <w:t xml:space="preserve">(customers who contact NI Water) </w:t>
            </w:r>
            <w:r w:rsidRPr="00554231">
              <w:rPr>
                <w:sz w:val="24"/>
              </w:rPr>
              <w:t xml:space="preserve">and </w:t>
            </w:r>
            <w:r>
              <w:rPr>
                <w:sz w:val="24"/>
              </w:rPr>
              <w:t xml:space="preserve">number of </w:t>
            </w:r>
            <w:r w:rsidRPr="00554231">
              <w:rPr>
                <w:sz w:val="24"/>
              </w:rPr>
              <w:t>unwanted calls.</w:t>
            </w:r>
          </w:p>
          <w:p w14:paraId="575ED669" w14:textId="77777777" w:rsidR="007E5D76" w:rsidRPr="00964949" w:rsidRDefault="007E5D76" w:rsidP="007E5D76">
            <w:pPr>
              <w:pStyle w:val="URTabletext"/>
              <w:numPr>
                <w:ilvl w:val="0"/>
                <w:numId w:val="45"/>
              </w:numPr>
              <w:spacing w:before="0" w:after="0" w:line="276" w:lineRule="auto"/>
              <w:ind w:left="306"/>
              <w:rPr>
                <w:sz w:val="24"/>
              </w:rPr>
            </w:pPr>
            <w:r w:rsidRPr="00964949">
              <w:rPr>
                <w:sz w:val="24"/>
              </w:rPr>
              <w:t xml:space="preserve">Improving consumer protection through the delivery of the CPP </w:t>
            </w:r>
            <w:r>
              <w:rPr>
                <w:sz w:val="24"/>
              </w:rPr>
              <w:t>best practice framework.</w:t>
            </w:r>
            <w:r w:rsidRPr="00964949">
              <w:rPr>
                <w:sz w:val="24"/>
              </w:rPr>
              <w:t xml:space="preserve"> </w:t>
            </w:r>
            <w:r>
              <w:rPr>
                <w:sz w:val="24"/>
              </w:rPr>
              <w:t xml:space="preserve"> </w:t>
            </w:r>
            <w:r w:rsidRPr="00964949">
              <w:rPr>
                <w:sz w:val="24"/>
              </w:rPr>
              <w:t xml:space="preserve">Improvement in vulnerable consumer identification, assistance, staff training, </w:t>
            </w:r>
            <w:r>
              <w:rPr>
                <w:sz w:val="24"/>
              </w:rPr>
              <w:t>Customer Care Register</w:t>
            </w:r>
            <w:r w:rsidRPr="00964949">
              <w:rPr>
                <w:sz w:val="24"/>
              </w:rPr>
              <w:t xml:space="preserve"> delivery (including volume, reach, awareness and promotion), and monitoring and reporting.</w:t>
            </w:r>
          </w:p>
          <w:p w14:paraId="6C5454BB" w14:textId="77777777" w:rsidR="007E5D76" w:rsidRDefault="007E5D76" w:rsidP="007E5D76">
            <w:pPr>
              <w:pStyle w:val="URTabletext"/>
              <w:numPr>
                <w:ilvl w:val="0"/>
                <w:numId w:val="45"/>
              </w:numPr>
              <w:spacing w:before="0" w:after="0" w:line="276" w:lineRule="auto"/>
              <w:ind w:left="306" w:hanging="357"/>
              <w:rPr>
                <w:sz w:val="24"/>
              </w:rPr>
            </w:pPr>
            <w:r>
              <w:rPr>
                <w:sz w:val="24"/>
              </w:rPr>
              <w:t>Achievement of the sustainable economic level of leakage by the end of PC21.</w:t>
            </w:r>
          </w:p>
          <w:p w14:paraId="7A437AEC" w14:textId="77777777" w:rsidR="007E5D76" w:rsidRPr="00554231" w:rsidRDefault="007E5D76" w:rsidP="007E5D76">
            <w:pPr>
              <w:pStyle w:val="URTabletext"/>
              <w:numPr>
                <w:ilvl w:val="0"/>
                <w:numId w:val="45"/>
              </w:numPr>
              <w:spacing w:before="0" w:after="0" w:line="276" w:lineRule="auto"/>
              <w:ind w:left="306" w:hanging="357"/>
              <w:rPr>
                <w:sz w:val="24"/>
              </w:rPr>
            </w:pPr>
            <w:r w:rsidRPr="00554231">
              <w:rPr>
                <w:sz w:val="24"/>
              </w:rPr>
              <w:t xml:space="preserve">Investment in </w:t>
            </w:r>
            <w:r>
              <w:rPr>
                <w:sz w:val="24"/>
              </w:rPr>
              <w:t>19</w:t>
            </w:r>
            <w:r w:rsidRPr="00421879">
              <w:rPr>
                <w:sz w:val="24"/>
              </w:rPr>
              <w:t xml:space="preserve"> schemes at </w:t>
            </w:r>
            <w:r>
              <w:rPr>
                <w:sz w:val="24"/>
              </w:rPr>
              <w:t>17</w:t>
            </w:r>
            <w:r w:rsidRPr="00421879">
              <w:rPr>
                <w:sz w:val="24"/>
              </w:rPr>
              <w:t xml:space="preserve"> water</w:t>
            </w:r>
            <w:r w:rsidRPr="00554231">
              <w:rPr>
                <w:sz w:val="24"/>
              </w:rPr>
              <w:t xml:space="preserve"> treatment works to maintain and improve water quality.</w:t>
            </w:r>
          </w:p>
          <w:p w14:paraId="09CFACA5" w14:textId="77777777" w:rsidR="007E5D76" w:rsidRPr="00554231" w:rsidRDefault="007E5D76" w:rsidP="007E5D76">
            <w:pPr>
              <w:pStyle w:val="URTabletext"/>
              <w:numPr>
                <w:ilvl w:val="0"/>
                <w:numId w:val="45"/>
              </w:numPr>
              <w:spacing w:before="0" w:after="0" w:line="276" w:lineRule="auto"/>
              <w:ind w:left="306" w:hanging="357"/>
              <w:rPr>
                <w:sz w:val="24"/>
              </w:rPr>
            </w:pPr>
            <w:r w:rsidRPr="00554231">
              <w:rPr>
                <w:sz w:val="24"/>
              </w:rPr>
              <w:t>Construction of</w:t>
            </w:r>
            <w:r>
              <w:rPr>
                <w:sz w:val="24"/>
              </w:rPr>
              <w:t xml:space="preserve"> 14</w:t>
            </w:r>
            <w:r w:rsidRPr="00554231">
              <w:rPr>
                <w:sz w:val="24"/>
              </w:rPr>
              <w:t xml:space="preserve"> water trunk-main schemes </w:t>
            </w:r>
            <w:r>
              <w:rPr>
                <w:sz w:val="24"/>
              </w:rPr>
              <w:t xml:space="preserve">to </w:t>
            </w:r>
            <w:r w:rsidRPr="00554231">
              <w:rPr>
                <w:sz w:val="24"/>
              </w:rPr>
              <w:t>and improve the resilience of supply in areas severely affected by major incidents in the past.</w:t>
            </w:r>
          </w:p>
          <w:p w14:paraId="7F1EE19F" w14:textId="77777777" w:rsidR="007E5D76" w:rsidRPr="00554231" w:rsidRDefault="007E5D76" w:rsidP="007E5D76">
            <w:pPr>
              <w:pStyle w:val="URTabletext"/>
              <w:numPr>
                <w:ilvl w:val="0"/>
                <w:numId w:val="45"/>
              </w:numPr>
              <w:spacing w:before="0" w:after="0" w:line="276" w:lineRule="auto"/>
              <w:ind w:left="306" w:hanging="357"/>
              <w:rPr>
                <w:sz w:val="24"/>
              </w:rPr>
            </w:pPr>
            <w:r w:rsidRPr="00554231">
              <w:rPr>
                <w:sz w:val="24"/>
              </w:rPr>
              <w:t xml:space="preserve">Delivery of </w:t>
            </w:r>
            <w:proofErr w:type="gramStart"/>
            <w:r>
              <w:rPr>
                <w:sz w:val="24"/>
              </w:rPr>
              <w:t>4</w:t>
            </w:r>
            <w:proofErr w:type="gramEnd"/>
            <w:r w:rsidRPr="00554231">
              <w:rPr>
                <w:sz w:val="24"/>
              </w:rPr>
              <w:t xml:space="preserve"> new water storage tanks </w:t>
            </w:r>
            <w:r>
              <w:rPr>
                <w:sz w:val="24"/>
              </w:rPr>
              <w:t>t</w:t>
            </w:r>
            <w:r w:rsidRPr="00554231">
              <w:rPr>
                <w:sz w:val="24"/>
              </w:rPr>
              <w:t>o balance flows in the network and improve resilience in the event of pipe burst or work outage.</w:t>
            </w:r>
          </w:p>
          <w:p w14:paraId="5EC28CFE" w14:textId="77777777" w:rsidR="007E5D76" w:rsidRPr="00554231" w:rsidRDefault="007E5D76" w:rsidP="007E5D76">
            <w:pPr>
              <w:pStyle w:val="URTabletext"/>
              <w:numPr>
                <w:ilvl w:val="0"/>
                <w:numId w:val="45"/>
              </w:numPr>
              <w:spacing w:before="0" w:after="0" w:line="276" w:lineRule="auto"/>
              <w:ind w:left="306" w:hanging="357"/>
              <w:rPr>
                <w:sz w:val="24"/>
              </w:rPr>
            </w:pPr>
            <w:r>
              <w:rPr>
                <w:sz w:val="24"/>
              </w:rPr>
              <w:t xml:space="preserve">Replacement or renovation of 838 </w:t>
            </w:r>
            <w:r w:rsidRPr="00554231">
              <w:rPr>
                <w:sz w:val="24"/>
              </w:rPr>
              <w:t xml:space="preserve">km of water mains to </w:t>
            </w:r>
            <w:r>
              <w:rPr>
                <w:sz w:val="24"/>
              </w:rPr>
              <w:t>address</w:t>
            </w:r>
            <w:r w:rsidRPr="00554231">
              <w:rPr>
                <w:sz w:val="24"/>
              </w:rPr>
              <w:t xml:space="preserve"> interruptions to supply</w:t>
            </w:r>
            <w:r>
              <w:rPr>
                <w:sz w:val="24"/>
              </w:rPr>
              <w:t>,</w:t>
            </w:r>
            <w:r w:rsidRPr="00554231">
              <w:rPr>
                <w:sz w:val="24"/>
              </w:rPr>
              <w:t xml:space="preserve"> low pressure and water quality.  Replacement or renovation of </w:t>
            </w:r>
            <w:r>
              <w:rPr>
                <w:sz w:val="24"/>
              </w:rPr>
              <w:t xml:space="preserve">61 </w:t>
            </w:r>
            <w:r w:rsidRPr="00554231">
              <w:rPr>
                <w:sz w:val="24"/>
              </w:rPr>
              <w:t>km of sewers that are collapsing or cause frequent blockage.</w:t>
            </w:r>
          </w:p>
          <w:p w14:paraId="68A7CC67" w14:textId="77777777" w:rsidR="007E5D76" w:rsidRDefault="007E5D76" w:rsidP="007E5D76">
            <w:pPr>
              <w:pStyle w:val="URTabletext"/>
              <w:numPr>
                <w:ilvl w:val="0"/>
                <w:numId w:val="45"/>
              </w:numPr>
              <w:spacing w:before="0" w:after="0" w:line="276" w:lineRule="auto"/>
              <w:ind w:left="306" w:hanging="357"/>
              <w:rPr>
                <w:sz w:val="24"/>
              </w:rPr>
            </w:pPr>
            <w:r w:rsidRPr="00554231">
              <w:rPr>
                <w:sz w:val="24"/>
              </w:rPr>
              <w:t xml:space="preserve">Investment to enhance </w:t>
            </w:r>
            <w:r>
              <w:rPr>
                <w:sz w:val="24"/>
              </w:rPr>
              <w:t xml:space="preserve">45 </w:t>
            </w:r>
            <w:r w:rsidRPr="00554231">
              <w:rPr>
                <w:sz w:val="24"/>
              </w:rPr>
              <w:t xml:space="preserve">wastewater treatment works </w:t>
            </w:r>
            <w:r>
              <w:rPr>
                <w:sz w:val="24"/>
              </w:rPr>
              <w:t>serving a population equivalent greater than 250 and 36 small wastewater treatment works achieve</w:t>
            </w:r>
            <w:r w:rsidRPr="00554231">
              <w:rPr>
                <w:sz w:val="24"/>
              </w:rPr>
              <w:t xml:space="preserve"> environmental discharge standards and accommodate development.</w:t>
            </w:r>
          </w:p>
          <w:p w14:paraId="08598D59" w14:textId="77777777" w:rsidR="007E5D76" w:rsidRPr="00554231" w:rsidRDefault="007E5D76" w:rsidP="007E5D76">
            <w:pPr>
              <w:pStyle w:val="URTabletext"/>
              <w:numPr>
                <w:ilvl w:val="0"/>
                <w:numId w:val="45"/>
              </w:numPr>
              <w:spacing w:before="0" w:after="0" w:line="276" w:lineRule="auto"/>
              <w:ind w:left="306" w:hanging="357"/>
              <w:rPr>
                <w:sz w:val="24"/>
              </w:rPr>
            </w:pPr>
            <w:r>
              <w:rPr>
                <w:sz w:val="24"/>
              </w:rPr>
              <w:t xml:space="preserve">Investment to improve the quality of 136 intermittent discharges to comply with environmental standards and accommodate development.  </w:t>
            </w:r>
          </w:p>
          <w:p w14:paraId="6E904175" w14:textId="77777777" w:rsidR="007E5D76" w:rsidRDefault="007E5D76" w:rsidP="007E5D76">
            <w:pPr>
              <w:pStyle w:val="URTabletext"/>
              <w:numPr>
                <w:ilvl w:val="0"/>
                <w:numId w:val="45"/>
              </w:numPr>
              <w:spacing w:before="0" w:after="0" w:line="276" w:lineRule="auto"/>
              <w:ind w:left="306" w:hanging="357"/>
              <w:rPr>
                <w:sz w:val="24"/>
              </w:rPr>
            </w:pPr>
            <w:r>
              <w:rPr>
                <w:sz w:val="24"/>
              </w:rPr>
              <w:t>The improvements above will address development constraints in 12 larger conurbations and 37 towns and villages.</w:t>
            </w:r>
          </w:p>
          <w:p w14:paraId="2F2C1333" w14:textId="77777777" w:rsidR="007E5D76" w:rsidRPr="00554231" w:rsidRDefault="007E5D76" w:rsidP="007E5D76">
            <w:pPr>
              <w:pStyle w:val="URTabletext"/>
              <w:numPr>
                <w:ilvl w:val="0"/>
                <w:numId w:val="45"/>
              </w:numPr>
              <w:spacing w:before="0" w:after="0" w:line="276" w:lineRule="auto"/>
              <w:ind w:left="306" w:hanging="357"/>
              <w:rPr>
                <w:sz w:val="24"/>
              </w:rPr>
            </w:pPr>
            <w:r>
              <w:rPr>
                <w:sz w:val="24"/>
              </w:rPr>
              <w:t>Proactive replacement of 11,064 lead communication pipes at consumers properties in addition to lead pipe replacement as part of the water mains rehabilitation programme ad in response to sample failures.</w:t>
            </w:r>
          </w:p>
          <w:p w14:paraId="48E9625E" w14:textId="77777777" w:rsidR="007E5D76" w:rsidRDefault="007E5D76" w:rsidP="007E5D76">
            <w:pPr>
              <w:pStyle w:val="URTabletext"/>
              <w:numPr>
                <w:ilvl w:val="0"/>
                <w:numId w:val="45"/>
              </w:numPr>
              <w:spacing w:before="0" w:after="0" w:line="276" w:lineRule="auto"/>
              <w:ind w:left="306"/>
              <w:rPr>
                <w:sz w:val="24"/>
              </w:rPr>
            </w:pPr>
            <w:r>
              <w:rPr>
                <w:sz w:val="24"/>
              </w:rPr>
              <w:t>Measures to improve sustainability and reduce the climate change impacts including:  sustainable catchment management (SCAMP) and investment in renewable energy generation.</w:t>
            </w:r>
          </w:p>
          <w:p w14:paraId="3C6F9DFE" w14:textId="77777777" w:rsidR="007E5D76" w:rsidRDefault="007E5D76" w:rsidP="007E5D76">
            <w:pPr>
              <w:pStyle w:val="URTabletext"/>
              <w:numPr>
                <w:ilvl w:val="0"/>
                <w:numId w:val="45"/>
              </w:numPr>
              <w:spacing w:before="0" w:after="0" w:line="276" w:lineRule="auto"/>
              <w:ind w:left="306"/>
              <w:rPr>
                <w:sz w:val="24"/>
              </w:rPr>
            </w:pPr>
            <w:r>
              <w:rPr>
                <w:sz w:val="24"/>
              </w:rPr>
              <w:t>Completion of sewerage drainage area plans to inform and optimise investment in the sewerage network and inform development decisions.</w:t>
            </w:r>
          </w:p>
          <w:p w14:paraId="210CFE0E" w14:textId="77777777" w:rsidR="007E5D76" w:rsidRPr="005A5A9F" w:rsidRDefault="007E5D76" w:rsidP="007E5D76">
            <w:pPr>
              <w:pStyle w:val="URTabletext"/>
              <w:numPr>
                <w:ilvl w:val="0"/>
                <w:numId w:val="45"/>
              </w:numPr>
              <w:spacing w:before="0" w:after="0" w:line="276" w:lineRule="auto"/>
              <w:ind w:left="306"/>
              <w:rPr>
                <w:sz w:val="24"/>
              </w:rPr>
            </w:pPr>
            <w:r>
              <w:rPr>
                <w:sz w:val="24"/>
              </w:rPr>
              <w:t>On</w:t>
            </w:r>
            <w:r w:rsidRPr="005A5A9F">
              <w:rPr>
                <w:sz w:val="24"/>
              </w:rPr>
              <w:t>going investment in management and general facilities to support the delivery of service, improve interactions with consumers, improve efficiency and make the service more sustainable.</w:t>
            </w:r>
          </w:p>
        </w:tc>
      </w:tr>
    </w:tbl>
    <w:p w14:paraId="66CC3C9E" w14:textId="4B0FF71F" w:rsidR="00775B79" w:rsidRPr="00852D82" w:rsidRDefault="00775B79" w:rsidP="00D86619">
      <w:pPr>
        <w:pStyle w:val="Heading1"/>
        <w:numPr>
          <w:ilvl w:val="0"/>
          <w:numId w:val="0"/>
        </w:numPr>
        <w:rPr>
          <w:sz w:val="24"/>
          <w:szCs w:val="24"/>
        </w:rPr>
      </w:pPr>
      <w:bookmarkStart w:id="1" w:name="_GoBack"/>
      <w:bookmarkEnd w:id="1"/>
    </w:p>
    <w:sectPr w:rsidR="00775B79" w:rsidRPr="00852D82" w:rsidSect="00F94E5C">
      <w:headerReference w:type="default" r:id="rId9"/>
      <w:footerReference w:type="default" r:id="rId10"/>
      <w:pgSz w:w="11910" w:h="16840"/>
      <w:pgMar w:top="1701" w:right="1440" w:bottom="1134" w:left="1440" w:header="170" w:footer="1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9DFA1" w14:textId="77777777" w:rsidR="00D54995" w:rsidRDefault="00D54995">
      <w:r>
        <w:separator/>
      </w:r>
    </w:p>
  </w:endnote>
  <w:endnote w:type="continuationSeparator" w:id="0">
    <w:p w14:paraId="65205C9F" w14:textId="77777777" w:rsidR="00D54995" w:rsidRDefault="00D5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F54F" w14:textId="77777777" w:rsidR="004328A4" w:rsidRDefault="004328A4">
    <w:pPr>
      <w:pStyle w:val="BodyText"/>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3CCE9FDB" wp14:editId="5DD76B53">
              <wp:simplePos x="0" y="0"/>
              <wp:positionH relativeFrom="page">
                <wp:posOffset>7951</wp:posOffset>
              </wp:positionH>
              <wp:positionV relativeFrom="page">
                <wp:posOffset>10463917</wp:posOffset>
              </wp:positionV>
              <wp:extent cx="7547610" cy="143123"/>
              <wp:effectExtent l="0" t="0" r="0" b="952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7610" cy="143123"/>
                      </a:xfrm>
                      <a:prstGeom prst="rect">
                        <a:avLst/>
                      </a:prstGeom>
                      <a:solidFill>
                        <a:srgbClr val="A2C4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2E55" id="Rectangle 1" o:spid="_x0000_s1026" style="position:absolute;margin-left:.65pt;margin-top:823.95pt;width:594.3pt;height:11.2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" fillcolor="#a2c42d" stroked="f">
              <v:path arrowok="t"/>
              <w10:wrap anchorx="page" anchory="page"/>
            </v:rect>
          </w:pict>
        </mc:Fallback>
      </mc:AlternateContent>
    </w:r>
    <w:r>
      <w:rPr>
        <w:noProof/>
        <w:lang w:bidi="ar-SA"/>
      </w:rPr>
      <mc:AlternateContent>
        <mc:Choice Requires="wps">
          <w:drawing>
            <wp:anchor distT="0" distB="0" distL="114300" distR="114300" simplePos="0" relativeHeight="251659776" behindDoc="1" locked="0" layoutInCell="1" allowOverlap="1" wp14:anchorId="2C3D3608" wp14:editId="434E9371">
              <wp:simplePos x="0" y="0"/>
              <wp:positionH relativeFrom="page">
                <wp:posOffset>3656965</wp:posOffset>
              </wp:positionH>
              <wp:positionV relativeFrom="page">
                <wp:posOffset>10357789</wp:posOffset>
              </wp:positionV>
              <wp:extent cx="240665" cy="189230"/>
              <wp:effectExtent l="0" t="0" r="698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6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B6A5A" w14:textId="26EE44DA" w:rsidR="004328A4" w:rsidRDefault="004328A4"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D86619">
                            <w:rPr>
                              <w:b/>
                              <w:noProof/>
                              <w:color w:val="231F20"/>
                              <w:sz w:val="20"/>
                              <w:shd w:val="clear" w:color="auto" w:fill="A2C42D"/>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3608" id="_x0000_t202" coordsize="21600,21600" o:spt="202" path="m,l,21600r21600,l21600,xe">
              <v:stroke joinstyle="miter"/>
              <v:path gradientshapeok="t" o:connecttype="rect"/>
            </v:shapetype>
            <v:shape id="Text Box 2" o:spid="_x0000_s1026" type="#_x0000_t202" style="position:absolute;margin-left:287.95pt;margin-top:815.55pt;width:18.9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" filled="f" stroked="f">
              <v:path arrowok="t"/>
              <v:textbox inset="0,0,0,0">
                <w:txbxContent>
                  <w:p w14:paraId="795B6A5A" w14:textId="26EE44DA" w:rsidR="004328A4" w:rsidRDefault="004328A4"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D86619">
                      <w:rPr>
                        <w:b/>
                        <w:noProof/>
                        <w:color w:val="231F20"/>
                        <w:sz w:val="20"/>
                        <w:shd w:val="clear" w:color="auto" w:fill="A2C42D"/>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461B" w14:textId="77777777" w:rsidR="00D54995" w:rsidRPr="00E72C0C" w:rsidRDefault="00D54995" w:rsidP="00E72C0C">
      <w:pPr>
        <w:pStyle w:val="Footer"/>
      </w:pPr>
      <w:r>
        <w:t>—————————————————————————————————————————</w:t>
      </w:r>
    </w:p>
  </w:footnote>
  <w:footnote w:type="continuationSeparator" w:id="0">
    <w:p w14:paraId="4F838C3F" w14:textId="77777777" w:rsidR="00D54995" w:rsidRDefault="00D5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77B0" w14:textId="585CE282" w:rsidR="00852D82" w:rsidRDefault="00852D82" w:rsidP="00852D82">
    <w:pPr>
      <w:pStyle w:val="Header"/>
      <w:jc w:val="right"/>
    </w:pPr>
  </w:p>
  <w:p w14:paraId="453C7085" w14:textId="70F15911" w:rsidR="00D54995" w:rsidRDefault="00852D82" w:rsidP="00852D82">
    <w:pPr>
      <w:pStyle w:val="BodyText"/>
      <w:spacing w:line="14" w:lineRule="auto"/>
      <w:jc w:val="right"/>
      <w:rPr>
        <w:sz w:val="20"/>
      </w:rPr>
    </w:pPr>
    <w:r>
      <w:rPr>
        <w:noProof/>
        <w:lang w:bidi="ar-SA"/>
      </w:rPr>
      <w:drawing>
        <wp:inline distT="0" distB="0" distL="0" distR="0" wp14:anchorId="75F2E306" wp14:editId="01FC5525">
          <wp:extent cx="2286000" cy="561975"/>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2286000"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FEC"/>
    <w:multiLevelType w:val="multilevel"/>
    <w:tmpl w:val="8E2EEC58"/>
    <w:lvl w:ilvl="0">
      <w:start w:val="2"/>
      <w:numFmt w:val="decimal"/>
      <w:lvlText w:val="%1"/>
      <w:lvlJc w:val="left"/>
      <w:pPr>
        <w:ind w:left="405" w:hanging="405"/>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bullet"/>
      <w:lvlText w:val=""/>
      <w:lvlJc w:val="left"/>
      <w:pPr>
        <w:ind w:left="1440" w:hanging="144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1919E2"/>
    <w:multiLevelType w:val="multilevel"/>
    <w:tmpl w:val="C6C02706"/>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AD0D00"/>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AD391C"/>
    <w:multiLevelType w:val="hybridMultilevel"/>
    <w:tmpl w:val="6D086140"/>
    <w:lvl w:ilvl="0" w:tplc="4A1C84DE">
      <w:start w:val="1"/>
      <w:numFmt w:val="bullet"/>
      <w:lvlText w:val=""/>
      <w:lvlJc w:val="left"/>
      <w:pPr>
        <w:ind w:left="720" w:hanging="360"/>
      </w:pPr>
      <w:rPr>
        <w:rFonts w:ascii="Symbol" w:hAnsi="Symbol" w:hint="default"/>
        <w:color w:val="231F20"/>
        <w:spacing w:val="-18"/>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2746"/>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6753D2"/>
    <w:multiLevelType w:val="multilevel"/>
    <w:tmpl w:val="EFBCC4BE"/>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B2F2C"/>
    <w:multiLevelType w:val="multilevel"/>
    <w:tmpl w:val="BF04B4C0"/>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0F7351"/>
    <w:multiLevelType w:val="hybridMultilevel"/>
    <w:tmpl w:val="8540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90B49"/>
    <w:multiLevelType w:val="hybridMultilevel"/>
    <w:tmpl w:val="3F9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83B34"/>
    <w:multiLevelType w:val="hybridMultilevel"/>
    <w:tmpl w:val="EBD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62E96"/>
    <w:multiLevelType w:val="hybridMultilevel"/>
    <w:tmpl w:val="5FB870C2"/>
    <w:lvl w:ilvl="0" w:tplc="4A1C84DE">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B11BA"/>
    <w:multiLevelType w:val="hybridMultilevel"/>
    <w:tmpl w:val="306E6D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23430C"/>
    <w:multiLevelType w:val="hybridMultilevel"/>
    <w:tmpl w:val="DA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D2624"/>
    <w:multiLevelType w:val="hybridMultilevel"/>
    <w:tmpl w:val="F418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52890"/>
    <w:multiLevelType w:val="multilevel"/>
    <w:tmpl w:val="A4943550"/>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BE0F8B"/>
    <w:multiLevelType w:val="multilevel"/>
    <w:tmpl w:val="C28AC566"/>
    <w:lvl w:ilvl="0">
      <w:start w:val="1"/>
      <w:numFmt w:val="decimal"/>
      <w:pStyle w:val="Heading1"/>
      <w:lvlText w:val="%1."/>
      <w:lvlJc w:val="left"/>
      <w:pPr>
        <w:ind w:left="851" w:hanging="851"/>
      </w:pPr>
      <w:rPr>
        <w:rFonts w:hint="default"/>
      </w:rPr>
    </w:lvl>
    <w:lvl w:ilvl="1">
      <w:start w:val="1"/>
      <w:numFmt w:val="none"/>
      <w:pStyle w:val="Heading2"/>
      <w:lvlText w:val="%2"/>
      <w:lvlJc w:val="left"/>
      <w:pPr>
        <w:tabs>
          <w:tab w:val="num" w:pos="851"/>
        </w:tabs>
        <w:ind w:left="0" w:firstLine="851"/>
      </w:pPr>
      <w:rPr>
        <w:rFonts w:hint="default"/>
      </w:rPr>
    </w:lvl>
    <w:lvl w:ilvl="2">
      <w:start w:val="1"/>
      <w:numFmt w:val="decimal"/>
      <w:lvlRestart w:val="1"/>
      <w:pStyle w:val="Heading3"/>
      <w:lvlText w:val="%1.%3"/>
      <w:lvlJc w:val="left"/>
      <w:pPr>
        <w:ind w:left="851" w:hanging="851"/>
      </w:pPr>
      <w:rPr>
        <w:rFonts w:hint="default"/>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Restart w:val="3"/>
      <w:pStyle w:val="Heading6"/>
      <w:lvlText w:val=""/>
      <w:lvlJc w:val="left"/>
      <w:pPr>
        <w:ind w:left="1559" w:hanging="708"/>
      </w:pPr>
      <w:rPr>
        <w:rFonts w:ascii="Symbol" w:hAnsi="Symbol" w:hint="default"/>
        <w:color w:val="auto"/>
      </w:rPr>
    </w:lvl>
    <w:lvl w:ilvl="6">
      <w:start w:val="1"/>
      <w:numFmt w:val="bullet"/>
      <w:pStyle w:val="Heading7"/>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DC0357"/>
    <w:multiLevelType w:val="hybridMultilevel"/>
    <w:tmpl w:val="CAF6CDFE"/>
    <w:lvl w:ilvl="0" w:tplc="FB42DCCE">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7" w15:restartNumberingAfterBreak="0">
    <w:nsid w:val="3A65733B"/>
    <w:multiLevelType w:val="hybridMultilevel"/>
    <w:tmpl w:val="FDC64D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84D74A1"/>
    <w:multiLevelType w:val="hybridMultilevel"/>
    <w:tmpl w:val="087A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0"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21" w15:restartNumberingAfterBreak="0">
    <w:nsid w:val="4BDB58EE"/>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7A3484"/>
    <w:multiLevelType w:val="hybridMultilevel"/>
    <w:tmpl w:val="BE4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0640D"/>
    <w:multiLevelType w:val="hybridMultilevel"/>
    <w:tmpl w:val="042C459E"/>
    <w:lvl w:ilvl="0" w:tplc="13B41D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3DC4"/>
    <w:multiLevelType w:val="hybridMultilevel"/>
    <w:tmpl w:val="7006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761212"/>
    <w:multiLevelType w:val="hybridMultilevel"/>
    <w:tmpl w:val="ED8C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6047F"/>
    <w:multiLevelType w:val="hybridMultilevel"/>
    <w:tmpl w:val="55147702"/>
    <w:lvl w:ilvl="0" w:tplc="E2E27866">
      <w:numFmt w:val="bullet"/>
      <w:lvlText w:val="•"/>
      <w:lvlJc w:val="left"/>
      <w:pPr>
        <w:ind w:left="345" w:hanging="227"/>
      </w:pPr>
      <w:rPr>
        <w:rFonts w:ascii="Arial" w:eastAsia="Arial" w:hAnsi="Arial" w:cs="Arial" w:hint="default"/>
        <w:color w:val="FFFFFF"/>
        <w:spacing w:val="-1"/>
        <w:w w:val="100"/>
        <w:sz w:val="22"/>
        <w:szCs w:val="22"/>
        <w:lang w:val="en-GB" w:eastAsia="en-GB" w:bidi="en-GB"/>
      </w:rPr>
    </w:lvl>
    <w:lvl w:ilvl="1" w:tplc="5DF61574">
      <w:numFmt w:val="bullet"/>
      <w:lvlText w:val="•"/>
      <w:lvlJc w:val="left"/>
      <w:pPr>
        <w:ind w:left="1118" w:hanging="227"/>
      </w:pPr>
      <w:rPr>
        <w:rFonts w:hint="default"/>
        <w:lang w:val="en-GB" w:eastAsia="en-GB" w:bidi="en-GB"/>
      </w:rPr>
    </w:lvl>
    <w:lvl w:ilvl="2" w:tplc="69FC56C4">
      <w:numFmt w:val="bullet"/>
      <w:lvlText w:val="•"/>
      <w:lvlJc w:val="left"/>
      <w:pPr>
        <w:ind w:left="1897" w:hanging="227"/>
      </w:pPr>
      <w:rPr>
        <w:rFonts w:hint="default"/>
        <w:lang w:val="en-GB" w:eastAsia="en-GB" w:bidi="en-GB"/>
      </w:rPr>
    </w:lvl>
    <w:lvl w:ilvl="3" w:tplc="028AA5F8">
      <w:numFmt w:val="bullet"/>
      <w:lvlText w:val="•"/>
      <w:lvlJc w:val="left"/>
      <w:pPr>
        <w:ind w:left="2675" w:hanging="227"/>
      </w:pPr>
      <w:rPr>
        <w:rFonts w:hint="default"/>
        <w:lang w:val="en-GB" w:eastAsia="en-GB" w:bidi="en-GB"/>
      </w:rPr>
    </w:lvl>
    <w:lvl w:ilvl="4" w:tplc="C9B83100">
      <w:numFmt w:val="bullet"/>
      <w:lvlText w:val="•"/>
      <w:lvlJc w:val="left"/>
      <w:pPr>
        <w:ind w:left="3454" w:hanging="227"/>
      </w:pPr>
      <w:rPr>
        <w:rFonts w:hint="default"/>
        <w:lang w:val="en-GB" w:eastAsia="en-GB" w:bidi="en-GB"/>
      </w:rPr>
    </w:lvl>
    <w:lvl w:ilvl="5" w:tplc="3C9A702A">
      <w:numFmt w:val="bullet"/>
      <w:lvlText w:val="•"/>
      <w:lvlJc w:val="left"/>
      <w:pPr>
        <w:ind w:left="4232" w:hanging="227"/>
      </w:pPr>
      <w:rPr>
        <w:rFonts w:hint="default"/>
        <w:lang w:val="en-GB" w:eastAsia="en-GB" w:bidi="en-GB"/>
      </w:rPr>
    </w:lvl>
    <w:lvl w:ilvl="6" w:tplc="62140212">
      <w:numFmt w:val="bullet"/>
      <w:lvlText w:val="•"/>
      <w:lvlJc w:val="left"/>
      <w:pPr>
        <w:ind w:left="5011" w:hanging="227"/>
      </w:pPr>
      <w:rPr>
        <w:rFonts w:hint="default"/>
        <w:lang w:val="en-GB" w:eastAsia="en-GB" w:bidi="en-GB"/>
      </w:rPr>
    </w:lvl>
    <w:lvl w:ilvl="7" w:tplc="B8EA9DDA">
      <w:numFmt w:val="bullet"/>
      <w:lvlText w:val="•"/>
      <w:lvlJc w:val="left"/>
      <w:pPr>
        <w:ind w:left="5790" w:hanging="227"/>
      </w:pPr>
      <w:rPr>
        <w:rFonts w:hint="default"/>
        <w:lang w:val="en-GB" w:eastAsia="en-GB" w:bidi="en-GB"/>
      </w:rPr>
    </w:lvl>
    <w:lvl w:ilvl="8" w:tplc="298402C6">
      <w:numFmt w:val="bullet"/>
      <w:lvlText w:val="•"/>
      <w:lvlJc w:val="left"/>
      <w:pPr>
        <w:ind w:left="6568" w:hanging="227"/>
      </w:pPr>
      <w:rPr>
        <w:rFonts w:hint="default"/>
        <w:lang w:val="en-GB" w:eastAsia="en-GB" w:bidi="en-GB"/>
      </w:rPr>
    </w:lvl>
  </w:abstractNum>
  <w:abstractNum w:abstractNumId="27" w15:restartNumberingAfterBreak="0">
    <w:nsid w:val="55294D5B"/>
    <w:multiLevelType w:val="hybridMultilevel"/>
    <w:tmpl w:val="B162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E2989"/>
    <w:multiLevelType w:val="hybridMultilevel"/>
    <w:tmpl w:val="5CA0C068"/>
    <w:lvl w:ilvl="0" w:tplc="D7904B24">
      <w:start w:val="1"/>
      <w:numFmt w:val="bullet"/>
      <w:pStyle w:val="URTable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260F7"/>
    <w:multiLevelType w:val="hybridMultilevel"/>
    <w:tmpl w:val="74D80C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96C4CAB"/>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683BB0"/>
    <w:multiLevelType w:val="hybridMultilevel"/>
    <w:tmpl w:val="1D0E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E10C2"/>
    <w:multiLevelType w:val="multilevel"/>
    <w:tmpl w:val="1B808090"/>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0E6A58"/>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9E793C"/>
    <w:multiLevelType w:val="hybridMultilevel"/>
    <w:tmpl w:val="8826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436875"/>
    <w:multiLevelType w:val="hybridMultilevel"/>
    <w:tmpl w:val="285E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1290C"/>
    <w:multiLevelType w:val="hybridMultilevel"/>
    <w:tmpl w:val="EF2282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1E07973"/>
    <w:multiLevelType w:val="multilevel"/>
    <w:tmpl w:val="C7021592"/>
    <w:lvl w:ilvl="0">
      <w:start w:val="1"/>
      <w:numFmt w:val="decimal"/>
      <w:lvlText w:val="%1"/>
      <w:lvlJc w:val="left"/>
      <w:pPr>
        <w:ind w:left="720" w:hanging="360"/>
      </w:pPr>
      <w:rPr>
        <w:rFonts w:hint="default"/>
        <w:color w:val="669900"/>
        <w:sz w:val="48"/>
        <w:szCs w:val="36"/>
      </w:rPr>
    </w:lvl>
    <w:lvl w:ilvl="1">
      <w:start w:val="1"/>
      <w:numFmt w:val="decimal"/>
      <w:isLgl/>
      <w:lvlText w:val="%1.%2"/>
      <w:lvlJc w:val="left"/>
      <w:pPr>
        <w:ind w:left="1288" w:hanging="72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3E68CF"/>
    <w:multiLevelType w:val="hybridMultilevel"/>
    <w:tmpl w:val="1840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33F50"/>
    <w:multiLevelType w:val="multilevel"/>
    <w:tmpl w:val="CC36C9D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F23431"/>
    <w:multiLevelType w:val="hybridMultilevel"/>
    <w:tmpl w:val="F19E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C40E9"/>
    <w:multiLevelType w:val="multilevel"/>
    <w:tmpl w:val="F3C6A8BE"/>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851" w:hanging="851"/>
      </w:pPr>
      <w:rPr>
        <w:rFonts w:ascii="Symbol" w:hAnsi="Symbol" w:hint="default"/>
      </w:rPr>
    </w:lvl>
    <w:lvl w:ilvl="3">
      <w:start w:val="1"/>
      <w:numFmt w:val="bullet"/>
      <w:lvlText w:val=""/>
      <w:lvlJc w:val="left"/>
      <w:pPr>
        <w:ind w:left="1559" w:hanging="708"/>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74385C"/>
    <w:multiLevelType w:val="hybridMultilevel"/>
    <w:tmpl w:val="87F0A95A"/>
    <w:lvl w:ilvl="0" w:tplc="56289AF0">
      <w:numFmt w:val="bullet"/>
      <w:lvlText w:val="•"/>
      <w:lvlJc w:val="left"/>
      <w:pPr>
        <w:ind w:left="1436" w:hanging="585"/>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0"/>
  </w:num>
  <w:num w:numId="2">
    <w:abstractNumId w:val="26"/>
  </w:num>
  <w:num w:numId="3">
    <w:abstractNumId w:val="19"/>
  </w:num>
  <w:num w:numId="4">
    <w:abstractNumId w:val="15"/>
  </w:num>
  <w:num w:numId="5">
    <w:abstractNumId w:val="15"/>
  </w:num>
  <w:num w:numId="6">
    <w:abstractNumId w:val="10"/>
  </w:num>
  <w:num w:numId="7">
    <w:abstractNumId w:val="15"/>
    <w:lvlOverride w:ilvl="0">
      <w:lvl w:ilvl="0">
        <w:start w:val="1"/>
        <w:numFmt w:val="decimal"/>
        <w:pStyle w:val="Heading1"/>
        <w:lvlText w:val="%1."/>
        <w:lvlJc w:val="left"/>
        <w:pPr>
          <w:ind w:left="851" w:hanging="851"/>
        </w:pPr>
        <w:rPr>
          <w:rFonts w:hint="default"/>
        </w:rPr>
      </w:lvl>
    </w:lvlOverride>
    <w:lvlOverride w:ilvl="1">
      <w:lvl w:ilvl="1">
        <w:start w:val="1"/>
        <w:numFmt w:val="none"/>
        <w:pStyle w:val="Heading2"/>
        <w:lvlText w:val="%2"/>
        <w:lvlJc w:val="left"/>
        <w:pPr>
          <w:tabs>
            <w:tab w:val="num" w:pos="851"/>
          </w:tabs>
          <w:ind w:left="0" w:firstLine="851"/>
        </w:pPr>
        <w:rPr>
          <w:rFonts w:hint="default"/>
        </w:rPr>
      </w:lvl>
    </w:lvlOverride>
    <w:lvlOverride w:ilvl="2">
      <w:lvl w:ilvl="2">
        <w:start w:val="1"/>
        <w:numFmt w:val="decimal"/>
        <w:lvlRestart w:val="1"/>
        <w:pStyle w:val="Heading3"/>
        <w:lvlText w:val="%1.%3"/>
        <w:lvlJc w:val="left"/>
        <w:pPr>
          <w:ind w:left="851" w:hanging="851"/>
        </w:pPr>
        <w:rPr>
          <w:rFonts w:hint="default"/>
        </w:rPr>
      </w:lvl>
    </w:lvlOverride>
    <w:lvlOverride w:ilvl="3">
      <w:lvl w:ilvl="3">
        <w:start w:val="1"/>
        <w:numFmt w:val="lowerLetter"/>
        <w:pStyle w:val="Heading4"/>
        <w:lvlText w:val="%4)"/>
        <w:lvlJc w:val="left"/>
        <w:pPr>
          <w:ind w:left="1559" w:hanging="708"/>
        </w:pPr>
        <w:rPr>
          <w:rFonts w:hint="default"/>
        </w:rPr>
      </w:lvl>
    </w:lvlOverride>
    <w:lvlOverride w:ilvl="4">
      <w:lvl w:ilvl="4">
        <w:start w:val="1"/>
        <w:numFmt w:val="lowerRoman"/>
        <w:pStyle w:val="Heading5"/>
        <w:lvlText w:val="(%5)"/>
        <w:lvlJc w:val="left"/>
        <w:pPr>
          <w:ind w:left="2268" w:hanging="709"/>
        </w:pPr>
        <w:rPr>
          <w:rFonts w:hint="default"/>
        </w:rPr>
      </w:lvl>
    </w:lvlOverride>
    <w:lvlOverride w:ilvl="5">
      <w:lvl w:ilvl="5">
        <w:start w:val="1"/>
        <w:numFmt w:val="bullet"/>
        <w:lvlRestart w:val="3"/>
        <w:pStyle w:val="Heading6"/>
        <w:lvlText w:val=""/>
        <w:lvlJc w:val="left"/>
        <w:pPr>
          <w:ind w:left="1559" w:hanging="708"/>
        </w:pPr>
        <w:rPr>
          <w:rFonts w:ascii="Symbol" w:hAnsi="Symbol" w:hint="default"/>
          <w:color w:val="auto"/>
        </w:rPr>
      </w:lvl>
    </w:lvlOverride>
    <w:lvlOverride w:ilvl="6">
      <w:lvl w:ilvl="6">
        <w:start w:val="1"/>
        <w:numFmt w:val="bullet"/>
        <w:pStyle w:val="Heading7"/>
        <w:lvlText w:val=""/>
        <w:lvlJc w:val="left"/>
        <w:pPr>
          <w:ind w:left="2268" w:hanging="709"/>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5"/>
  </w:num>
  <w:num w:numId="9">
    <w:abstractNumId w:val="16"/>
  </w:num>
  <w:num w:numId="10">
    <w:abstractNumId w:val="28"/>
  </w:num>
  <w:num w:numId="11">
    <w:abstractNumId w:val="11"/>
  </w:num>
  <w:num w:numId="12">
    <w:abstractNumId w:val="7"/>
  </w:num>
  <w:num w:numId="13">
    <w:abstractNumId w:val="13"/>
  </w:num>
  <w:num w:numId="14">
    <w:abstractNumId w:val="23"/>
  </w:num>
  <w:num w:numId="15">
    <w:abstractNumId w:val="37"/>
  </w:num>
  <w:num w:numId="16">
    <w:abstractNumId w:val="17"/>
  </w:num>
  <w:num w:numId="17">
    <w:abstractNumId w:val="42"/>
  </w:num>
  <w:num w:numId="18">
    <w:abstractNumId w:val="15"/>
  </w:num>
  <w:num w:numId="19">
    <w:abstractNumId w:val="29"/>
  </w:num>
  <w:num w:numId="20">
    <w:abstractNumId w:val="36"/>
  </w:num>
  <w:num w:numId="21">
    <w:abstractNumId w:val="15"/>
  </w:num>
  <w:num w:numId="22">
    <w:abstractNumId w:val="5"/>
  </w:num>
  <w:num w:numId="23">
    <w:abstractNumId w:val="4"/>
  </w:num>
  <w:num w:numId="24">
    <w:abstractNumId w:val="15"/>
  </w:num>
  <w:num w:numId="25">
    <w:abstractNumId w:val="30"/>
  </w:num>
  <w:num w:numId="26">
    <w:abstractNumId w:val="21"/>
  </w:num>
  <w:num w:numId="27">
    <w:abstractNumId w:val="33"/>
  </w:num>
  <w:num w:numId="28">
    <w:abstractNumId w:val="39"/>
  </w:num>
  <w:num w:numId="29">
    <w:abstractNumId w:val="2"/>
  </w:num>
  <w:num w:numId="30">
    <w:abstractNumId w:val="41"/>
  </w:num>
  <w:num w:numId="31">
    <w:abstractNumId w:val="14"/>
  </w:num>
  <w:num w:numId="32">
    <w:abstractNumId w:val="32"/>
  </w:num>
  <w:num w:numId="33">
    <w:abstractNumId w:val="15"/>
  </w:num>
  <w:num w:numId="34">
    <w:abstractNumId w:val="12"/>
  </w:num>
  <w:num w:numId="35">
    <w:abstractNumId w:val="25"/>
  </w:num>
  <w:num w:numId="36">
    <w:abstractNumId w:val="35"/>
  </w:num>
  <w:num w:numId="37">
    <w:abstractNumId w:val="40"/>
  </w:num>
  <w:num w:numId="38">
    <w:abstractNumId w:val="31"/>
  </w:num>
  <w:num w:numId="39">
    <w:abstractNumId w:val="9"/>
  </w:num>
  <w:num w:numId="40">
    <w:abstractNumId w:val="18"/>
  </w:num>
  <w:num w:numId="41">
    <w:abstractNumId w:val="27"/>
  </w:num>
  <w:num w:numId="42">
    <w:abstractNumId w:val="22"/>
  </w:num>
  <w:num w:numId="43">
    <w:abstractNumId w:val="15"/>
  </w:num>
  <w:num w:numId="44">
    <w:abstractNumId w:val="38"/>
  </w:num>
  <w:num w:numId="45">
    <w:abstractNumId w:val="3"/>
  </w:num>
  <w:num w:numId="46">
    <w:abstractNumId w:val="8"/>
  </w:num>
  <w:num w:numId="47">
    <w:abstractNumId w:val="15"/>
  </w:num>
  <w:num w:numId="48">
    <w:abstractNumId w:val="15"/>
  </w:num>
  <w:num w:numId="49">
    <w:abstractNumId w:val="15"/>
  </w:num>
  <w:num w:numId="50">
    <w:abstractNumId w:val="15"/>
  </w:num>
  <w:num w:numId="51">
    <w:abstractNumId w:val="34"/>
  </w:num>
  <w:num w:numId="52">
    <w:abstractNumId w:val="15"/>
  </w:num>
  <w:num w:numId="53">
    <w:abstractNumId w:val="15"/>
  </w:num>
  <w:num w:numId="54">
    <w:abstractNumId w:val="15"/>
  </w:num>
  <w:num w:numId="55">
    <w:abstractNumId w:val="15"/>
  </w:num>
  <w:num w:numId="56">
    <w:abstractNumId w:val="15"/>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0"/>
  </w:num>
  <w:num w:numId="60">
    <w:abstractNumId w:val="6"/>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68"/>
    <w:rsid w:val="00001212"/>
    <w:rsid w:val="0000233A"/>
    <w:rsid w:val="00002713"/>
    <w:rsid w:val="000113E0"/>
    <w:rsid w:val="000119F5"/>
    <w:rsid w:val="000132C0"/>
    <w:rsid w:val="00013BB1"/>
    <w:rsid w:val="000179FD"/>
    <w:rsid w:val="00021F0D"/>
    <w:rsid w:val="00023601"/>
    <w:rsid w:val="00030BD5"/>
    <w:rsid w:val="00031765"/>
    <w:rsid w:val="00033ADF"/>
    <w:rsid w:val="00034BE6"/>
    <w:rsid w:val="0003656D"/>
    <w:rsid w:val="00037D7E"/>
    <w:rsid w:val="00040666"/>
    <w:rsid w:val="00041C65"/>
    <w:rsid w:val="00042F35"/>
    <w:rsid w:val="000450C0"/>
    <w:rsid w:val="00046002"/>
    <w:rsid w:val="00051B44"/>
    <w:rsid w:val="00052095"/>
    <w:rsid w:val="000529D2"/>
    <w:rsid w:val="00052C93"/>
    <w:rsid w:val="00056470"/>
    <w:rsid w:val="00057A30"/>
    <w:rsid w:val="00057DC8"/>
    <w:rsid w:val="00067A16"/>
    <w:rsid w:val="00071CF3"/>
    <w:rsid w:val="00071FB4"/>
    <w:rsid w:val="00072D85"/>
    <w:rsid w:val="00074BAE"/>
    <w:rsid w:val="00081A9C"/>
    <w:rsid w:val="00082C14"/>
    <w:rsid w:val="00082C9E"/>
    <w:rsid w:val="00084279"/>
    <w:rsid w:val="000870BB"/>
    <w:rsid w:val="000879CA"/>
    <w:rsid w:val="00087A94"/>
    <w:rsid w:val="00090009"/>
    <w:rsid w:val="00090513"/>
    <w:rsid w:val="000916D3"/>
    <w:rsid w:val="00091F07"/>
    <w:rsid w:val="00095037"/>
    <w:rsid w:val="000A1D2E"/>
    <w:rsid w:val="000A24C3"/>
    <w:rsid w:val="000A5E9B"/>
    <w:rsid w:val="000A717F"/>
    <w:rsid w:val="000A73FC"/>
    <w:rsid w:val="000B0782"/>
    <w:rsid w:val="000B0D92"/>
    <w:rsid w:val="000B0EBE"/>
    <w:rsid w:val="000B4B1E"/>
    <w:rsid w:val="000B5519"/>
    <w:rsid w:val="000B6EB7"/>
    <w:rsid w:val="000C0E31"/>
    <w:rsid w:val="000C12EC"/>
    <w:rsid w:val="000C145B"/>
    <w:rsid w:val="000C57EC"/>
    <w:rsid w:val="000C7BE3"/>
    <w:rsid w:val="000D3D8E"/>
    <w:rsid w:val="000D542F"/>
    <w:rsid w:val="000D6502"/>
    <w:rsid w:val="000D7C89"/>
    <w:rsid w:val="000E04C0"/>
    <w:rsid w:val="000E275A"/>
    <w:rsid w:val="000E7603"/>
    <w:rsid w:val="000F30EB"/>
    <w:rsid w:val="000F4B02"/>
    <w:rsid w:val="00100481"/>
    <w:rsid w:val="0010190C"/>
    <w:rsid w:val="00103053"/>
    <w:rsid w:val="00105528"/>
    <w:rsid w:val="001067E5"/>
    <w:rsid w:val="0011474F"/>
    <w:rsid w:val="001177F7"/>
    <w:rsid w:val="001201FB"/>
    <w:rsid w:val="00121AD1"/>
    <w:rsid w:val="001220CD"/>
    <w:rsid w:val="001223C7"/>
    <w:rsid w:val="00124140"/>
    <w:rsid w:val="00124F35"/>
    <w:rsid w:val="001261D4"/>
    <w:rsid w:val="00133295"/>
    <w:rsid w:val="001336F6"/>
    <w:rsid w:val="0013401E"/>
    <w:rsid w:val="0013468B"/>
    <w:rsid w:val="00134EF6"/>
    <w:rsid w:val="00140346"/>
    <w:rsid w:val="00141ECE"/>
    <w:rsid w:val="001440F4"/>
    <w:rsid w:val="0014518F"/>
    <w:rsid w:val="00153372"/>
    <w:rsid w:val="001554C7"/>
    <w:rsid w:val="001606B7"/>
    <w:rsid w:val="00164F1F"/>
    <w:rsid w:val="001678CE"/>
    <w:rsid w:val="00167C83"/>
    <w:rsid w:val="001703B5"/>
    <w:rsid w:val="00171778"/>
    <w:rsid w:val="00177DED"/>
    <w:rsid w:val="00180D70"/>
    <w:rsid w:val="00184505"/>
    <w:rsid w:val="00184D94"/>
    <w:rsid w:val="00191498"/>
    <w:rsid w:val="00195F9A"/>
    <w:rsid w:val="001B053F"/>
    <w:rsid w:val="001B09AC"/>
    <w:rsid w:val="001B0BE5"/>
    <w:rsid w:val="001B3F03"/>
    <w:rsid w:val="001B4B65"/>
    <w:rsid w:val="001B60AF"/>
    <w:rsid w:val="001B77A9"/>
    <w:rsid w:val="001C314C"/>
    <w:rsid w:val="001C3786"/>
    <w:rsid w:val="001D2833"/>
    <w:rsid w:val="001D5AD1"/>
    <w:rsid w:val="001D705D"/>
    <w:rsid w:val="001E017F"/>
    <w:rsid w:val="001E10E7"/>
    <w:rsid w:val="001E40F5"/>
    <w:rsid w:val="001E6294"/>
    <w:rsid w:val="001E7AC2"/>
    <w:rsid w:val="001F09F4"/>
    <w:rsid w:val="001F3517"/>
    <w:rsid w:val="001F37D8"/>
    <w:rsid w:val="001F37E8"/>
    <w:rsid w:val="00202C7B"/>
    <w:rsid w:val="0020719D"/>
    <w:rsid w:val="00211B0E"/>
    <w:rsid w:val="002121FB"/>
    <w:rsid w:val="0021252B"/>
    <w:rsid w:val="002143A4"/>
    <w:rsid w:val="00215586"/>
    <w:rsid w:val="00215A2B"/>
    <w:rsid w:val="0021699A"/>
    <w:rsid w:val="00216F6E"/>
    <w:rsid w:val="002176A4"/>
    <w:rsid w:val="00217C59"/>
    <w:rsid w:val="00220C9D"/>
    <w:rsid w:val="0022368A"/>
    <w:rsid w:val="002306DB"/>
    <w:rsid w:val="00235EFA"/>
    <w:rsid w:val="00237227"/>
    <w:rsid w:val="002375FE"/>
    <w:rsid w:val="00240D18"/>
    <w:rsid w:val="00241974"/>
    <w:rsid w:val="00242972"/>
    <w:rsid w:val="002462D7"/>
    <w:rsid w:val="00256232"/>
    <w:rsid w:val="0026171C"/>
    <w:rsid w:val="00263980"/>
    <w:rsid w:val="002670CA"/>
    <w:rsid w:val="00270635"/>
    <w:rsid w:val="00270A0A"/>
    <w:rsid w:val="002777F4"/>
    <w:rsid w:val="00280A99"/>
    <w:rsid w:val="00282B71"/>
    <w:rsid w:val="00285011"/>
    <w:rsid w:val="002871F9"/>
    <w:rsid w:val="00294D1D"/>
    <w:rsid w:val="002960EE"/>
    <w:rsid w:val="00297BD2"/>
    <w:rsid w:val="002A3F57"/>
    <w:rsid w:val="002A4633"/>
    <w:rsid w:val="002B1E91"/>
    <w:rsid w:val="002B2752"/>
    <w:rsid w:val="002C0CCA"/>
    <w:rsid w:val="002C273B"/>
    <w:rsid w:val="002C3083"/>
    <w:rsid w:val="002C772A"/>
    <w:rsid w:val="002D1E90"/>
    <w:rsid w:val="002D6E41"/>
    <w:rsid w:val="002E25DD"/>
    <w:rsid w:val="002F267B"/>
    <w:rsid w:val="002F34C5"/>
    <w:rsid w:val="002F3C51"/>
    <w:rsid w:val="002F76CF"/>
    <w:rsid w:val="00303D9E"/>
    <w:rsid w:val="00305383"/>
    <w:rsid w:val="00311F15"/>
    <w:rsid w:val="00316ECB"/>
    <w:rsid w:val="00323273"/>
    <w:rsid w:val="00324F63"/>
    <w:rsid w:val="00326BFB"/>
    <w:rsid w:val="00327E12"/>
    <w:rsid w:val="00332AA7"/>
    <w:rsid w:val="003333A2"/>
    <w:rsid w:val="00334095"/>
    <w:rsid w:val="00334B4A"/>
    <w:rsid w:val="00336C51"/>
    <w:rsid w:val="00336F43"/>
    <w:rsid w:val="003509A4"/>
    <w:rsid w:val="00351AC4"/>
    <w:rsid w:val="00353392"/>
    <w:rsid w:val="003559F9"/>
    <w:rsid w:val="00355D49"/>
    <w:rsid w:val="0036024A"/>
    <w:rsid w:val="00363EDB"/>
    <w:rsid w:val="00363FEB"/>
    <w:rsid w:val="003733D6"/>
    <w:rsid w:val="0037635A"/>
    <w:rsid w:val="00376A5E"/>
    <w:rsid w:val="00377D66"/>
    <w:rsid w:val="00380BDA"/>
    <w:rsid w:val="00381813"/>
    <w:rsid w:val="003844A9"/>
    <w:rsid w:val="00384DE6"/>
    <w:rsid w:val="00387BFA"/>
    <w:rsid w:val="003902F3"/>
    <w:rsid w:val="00393673"/>
    <w:rsid w:val="00397C4D"/>
    <w:rsid w:val="003A0795"/>
    <w:rsid w:val="003A0DD6"/>
    <w:rsid w:val="003A184F"/>
    <w:rsid w:val="003A20C8"/>
    <w:rsid w:val="003A7725"/>
    <w:rsid w:val="003B29FF"/>
    <w:rsid w:val="003B6B4E"/>
    <w:rsid w:val="003B7B1A"/>
    <w:rsid w:val="003B7C21"/>
    <w:rsid w:val="003C1607"/>
    <w:rsid w:val="003C39A3"/>
    <w:rsid w:val="003C7093"/>
    <w:rsid w:val="003D277C"/>
    <w:rsid w:val="003E1389"/>
    <w:rsid w:val="003E35DC"/>
    <w:rsid w:val="003E56F4"/>
    <w:rsid w:val="003F007C"/>
    <w:rsid w:val="003F467E"/>
    <w:rsid w:val="004010AB"/>
    <w:rsid w:val="004040CE"/>
    <w:rsid w:val="00405BE9"/>
    <w:rsid w:val="00407694"/>
    <w:rsid w:val="00412ADE"/>
    <w:rsid w:val="00415B13"/>
    <w:rsid w:val="00416158"/>
    <w:rsid w:val="00421824"/>
    <w:rsid w:val="00431407"/>
    <w:rsid w:val="00432331"/>
    <w:rsid w:val="004328A4"/>
    <w:rsid w:val="00435198"/>
    <w:rsid w:val="004353B0"/>
    <w:rsid w:val="00437304"/>
    <w:rsid w:val="00443707"/>
    <w:rsid w:val="00443F20"/>
    <w:rsid w:val="00444AE2"/>
    <w:rsid w:val="00444CB9"/>
    <w:rsid w:val="004506D7"/>
    <w:rsid w:val="00450D2E"/>
    <w:rsid w:val="00453EA0"/>
    <w:rsid w:val="00454CB3"/>
    <w:rsid w:val="004551F6"/>
    <w:rsid w:val="004559FE"/>
    <w:rsid w:val="00456D8E"/>
    <w:rsid w:val="00457F3B"/>
    <w:rsid w:val="00460E37"/>
    <w:rsid w:val="00462EF7"/>
    <w:rsid w:val="0046435F"/>
    <w:rsid w:val="0046509E"/>
    <w:rsid w:val="00465EA7"/>
    <w:rsid w:val="00467261"/>
    <w:rsid w:val="004673F8"/>
    <w:rsid w:val="00467B41"/>
    <w:rsid w:val="00474DAC"/>
    <w:rsid w:val="00475FE0"/>
    <w:rsid w:val="00476B05"/>
    <w:rsid w:val="00477062"/>
    <w:rsid w:val="00481D9D"/>
    <w:rsid w:val="004869C8"/>
    <w:rsid w:val="0049208E"/>
    <w:rsid w:val="00492AA1"/>
    <w:rsid w:val="004978DA"/>
    <w:rsid w:val="004A035A"/>
    <w:rsid w:val="004A3135"/>
    <w:rsid w:val="004A6275"/>
    <w:rsid w:val="004B30F5"/>
    <w:rsid w:val="004B38C8"/>
    <w:rsid w:val="004C49CF"/>
    <w:rsid w:val="004C5911"/>
    <w:rsid w:val="004C7A47"/>
    <w:rsid w:val="004D06B9"/>
    <w:rsid w:val="004D06E9"/>
    <w:rsid w:val="004D4A33"/>
    <w:rsid w:val="004D56C7"/>
    <w:rsid w:val="004D7CFD"/>
    <w:rsid w:val="004E1617"/>
    <w:rsid w:val="004E2D4D"/>
    <w:rsid w:val="004E2E68"/>
    <w:rsid w:val="004E748E"/>
    <w:rsid w:val="004E7661"/>
    <w:rsid w:val="004F0E78"/>
    <w:rsid w:val="004F1815"/>
    <w:rsid w:val="004F49BC"/>
    <w:rsid w:val="004F6969"/>
    <w:rsid w:val="00500926"/>
    <w:rsid w:val="00501C1B"/>
    <w:rsid w:val="00503548"/>
    <w:rsid w:val="00503A71"/>
    <w:rsid w:val="00506527"/>
    <w:rsid w:val="0051116A"/>
    <w:rsid w:val="00513CF2"/>
    <w:rsid w:val="00517C1C"/>
    <w:rsid w:val="0052287E"/>
    <w:rsid w:val="00527542"/>
    <w:rsid w:val="005322D3"/>
    <w:rsid w:val="00532A6E"/>
    <w:rsid w:val="00532D05"/>
    <w:rsid w:val="00536743"/>
    <w:rsid w:val="00536A5E"/>
    <w:rsid w:val="00541D71"/>
    <w:rsid w:val="005421DD"/>
    <w:rsid w:val="00545FD6"/>
    <w:rsid w:val="00555C05"/>
    <w:rsid w:val="00555E6E"/>
    <w:rsid w:val="0055646C"/>
    <w:rsid w:val="00557F96"/>
    <w:rsid w:val="00562BDF"/>
    <w:rsid w:val="005676B3"/>
    <w:rsid w:val="00570B50"/>
    <w:rsid w:val="0057120E"/>
    <w:rsid w:val="0057367C"/>
    <w:rsid w:val="00575504"/>
    <w:rsid w:val="005779FD"/>
    <w:rsid w:val="00582180"/>
    <w:rsid w:val="00583B72"/>
    <w:rsid w:val="00585B49"/>
    <w:rsid w:val="005871A6"/>
    <w:rsid w:val="00591FCC"/>
    <w:rsid w:val="005922D3"/>
    <w:rsid w:val="0059607E"/>
    <w:rsid w:val="005A0694"/>
    <w:rsid w:val="005A243D"/>
    <w:rsid w:val="005B1683"/>
    <w:rsid w:val="005B4CAC"/>
    <w:rsid w:val="005B51D1"/>
    <w:rsid w:val="005C0EB0"/>
    <w:rsid w:val="005C0FB6"/>
    <w:rsid w:val="005C341D"/>
    <w:rsid w:val="005C4F57"/>
    <w:rsid w:val="005D342C"/>
    <w:rsid w:val="005D4DC3"/>
    <w:rsid w:val="005D4EF2"/>
    <w:rsid w:val="005D7F22"/>
    <w:rsid w:val="005E30F3"/>
    <w:rsid w:val="005E650E"/>
    <w:rsid w:val="005F223D"/>
    <w:rsid w:val="005F729A"/>
    <w:rsid w:val="00600CAA"/>
    <w:rsid w:val="00601250"/>
    <w:rsid w:val="0060134D"/>
    <w:rsid w:val="00603150"/>
    <w:rsid w:val="0060585F"/>
    <w:rsid w:val="00610216"/>
    <w:rsid w:val="00610E51"/>
    <w:rsid w:val="00613482"/>
    <w:rsid w:val="00616A92"/>
    <w:rsid w:val="00632AA4"/>
    <w:rsid w:val="00633703"/>
    <w:rsid w:val="00637506"/>
    <w:rsid w:val="006409D9"/>
    <w:rsid w:val="00640B8E"/>
    <w:rsid w:val="00642DB4"/>
    <w:rsid w:val="00642E3D"/>
    <w:rsid w:val="00643CB1"/>
    <w:rsid w:val="006464C1"/>
    <w:rsid w:val="00646D2D"/>
    <w:rsid w:val="00646F2E"/>
    <w:rsid w:val="006470EA"/>
    <w:rsid w:val="006521AE"/>
    <w:rsid w:val="00652B46"/>
    <w:rsid w:val="00653634"/>
    <w:rsid w:val="00654973"/>
    <w:rsid w:val="00656CFF"/>
    <w:rsid w:val="00656F38"/>
    <w:rsid w:val="0066006B"/>
    <w:rsid w:val="00661EB3"/>
    <w:rsid w:val="0066523F"/>
    <w:rsid w:val="00666401"/>
    <w:rsid w:val="00667D01"/>
    <w:rsid w:val="006718E1"/>
    <w:rsid w:val="00673513"/>
    <w:rsid w:val="00677F82"/>
    <w:rsid w:val="00680B23"/>
    <w:rsid w:val="006812A1"/>
    <w:rsid w:val="00681F8F"/>
    <w:rsid w:val="00686D7D"/>
    <w:rsid w:val="00690357"/>
    <w:rsid w:val="00693DF6"/>
    <w:rsid w:val="00697B3A"/>
    <w:rsid w:val="006A049F"/>
    <w:rsid w:val="006A5654"/>
    <w:rsid w:val="006A57A0"/>
    <w:rsid w:val="006B02D5"/>
    <w:rsid w:val="006B48E3"/>
    <w:rsid w:val="006C14BB"/>
    <w:rsid w:val="006C1BC4"/>
    <w:rsid w:val="006C729A"/>
    <w:rsid w:val="006C7F3B"/>
    <w:rsid w:val="006D4BED"/>
    <w:rsid w:val="006D5042"/>
    <w:rsid w:val="006D5671"/>
    <w:rsid w:val="006E030E"/>
    <w:rsid w:val="006E4404"/>
    <w:rsid w:val="006E6230"/>
    <w:rsid w:val="006E7C6C"/>
    <w:rsid w:val="006F06E9"/>
    <w:rsid w:val="006F2C64"/>
    <w:rsid w:val="006F56FA"/>
    <w:rsid w:val="006F5CEE"/>
    <w:rsid w:val="007073EF"/>
    <w:rsid w:val="00711F63"/>
    <w:rsid w:val="00723B19"/>
    <w:rsid w:val="0072496F"/>
    <w:rsid w:val="00725EDC"/>
    <w:rsid w:val="0073291F"/>
    <w:rsid w:val="007342FC"/>
    <w:rsid w:val="00735BCF"/>
    <w:rsid w:val="00742B22"/>
    <w:rsid w:val="0074332D"/>
    <w:rsid w:val="00746556"/>
    <w:rsid w:val="0075484F"/>
    <w:rsid w:val="0075710A"/>
    <w:rsid w:val="00763AEB"/>
    <w:rsid w:val="00764880"/>
    <w:rsid w:val="00767D58"/>
    <w:rsid w:val="00770463"/>
    <w:rsid w:val="007747FE"/>
    <w:rsid w:val="00774F3F"/>
    <w:rsid w:val="00775B79"/>
    <w:rsid w:val="00777B94"/>
    <w:rsid w:val="00780390"/>
    <w:rsid w:val="00781091"/>
    <w:rsid w:val="007871F9"/>
    <w:rsid w:val="007877F4"/>
    <w:rsid w:val="007902EF"/>
    <w:rsid w:val="00791C9D"/>
    <w:rsid w:val="00792AED"/>
    <w:rsid w:val="00792C95"/>
    <w:rsid w:val="007977F5"/>
    <w:rsid w:val="007A0980"/>
    <w:rsid w:val="007A0B42"/>
    <w:rsid w:val="007A0CB6"/>
    <w:rsid w:val="007C0BD7"/>
    <w:rsid w:val="007C1F3A"/>
    <w:rsid w:val="007C274D"/>
    <w:rsid w:val="007C431A"/>
    <w:rsid w:val="007C51D5"/>
    <w:rsid w:val="007D046E"/>
    <w:rsid w:val="007D0E43"/>
    <w:rsid w:val="007D3978"/>
    <w:rsid w:val="007D7F55"/>
    <w:rsid w:val="007E14C8"/>
    <w:rsid w:val="007E2FEE"/>
    <w:rsid w:val="007E4617"/>
    <w:rsid w:val="007E4D17"/>
    <w:rsid w:val="007E5D76"/>
    <w:rsid w:val="007E6B7D"/>
    <w:rsid w:val="007F1067"/>
    <w:rsid w:val="007F2475"/>
    <w:rsid w:val="00800358"/>
    <w:rsid w:val="00803413"/>
    <w:rsid w:val="00813F6E"/>
    <w:rsid w:val="00815CCA"/>
    <w:rsid w:val="0081753A"/>
    <w:rsid w:val="00821328"/>
    <w:rsid w:val="00821C44"/>
    <w:rsid w:val="008230B8"/>
    <w:rsid w:val="008244B2"/>
    <w:rsid w:val="00827C36"/>
    <w:rsid w:val="008306D7"/>
    <w:rsid w:val="008348EC"/>
    <w:rsid w:val="00843A96"/>
    <w:rsid w:val="00843E0A"/>
    <w:rsid w:val="00844BB6"/>
    <w:rsid w:val="008468F5"/>
    <w:rsid w:val="00851FBD"/>
    <w:rsid w:val="00852D82"/>
    <w:rsid w:val="008666A4"/>
    <w:rsid w:val="008701B0"/>
    <w:rsid w:val="0087277D"/>
    <w:rsid w:val="008766E8"/>
    <w:rsid w:val="00883B4B"/>
    <w:rsid w:val="008840A0"/>
    <w:rsid w:val="00885977"/>
    <w:rsid w:val="008861DE"/>
    <w:rsid w:val="008902CB"/>
    <w:rsid w:val="0089093D"/>
    <w:rsid w:val="0089348E"/>
    <w:rsid w:val="008A52B7"/>
    <w:rsid w:val="008A5BCE"/>
    <w:rsid w:val="008A6CCF"/>
    <w:rsid w:val="008B1843"/>
    <w:rsid w:val="008B27A8"/>
    <w:rsid w:val="008B3848"/>
    <w:rsid w:val="008C118E"/>
    <w:rsid w:val="008C3612"/>
    <w:rsid w:val="008C4B93"/>
    <w:rsid w:val="008C4CAD"/>
    <w:rsid w:val="008C61F1"/>
    <w:rsid w:val="008D2DF9"/>
    <w:rsid w:val="008D53A0"/>
    <w:rsid w:val="008E2F9B"/>
    <w:rsid w:val="008E67BD"/>
    <w:rsid w:val="008E7603"/>
    <w:rsid w:val="008F1DEB"/>
    <w:rsid w:val="008F322F"/>
    <w:rsid w:val="00902AF5"/>
    <w:rsid w:val="00903790"/>
    <w:rsid w:val="00903DA1"/>
    <w:rsid w:val="00906911"/>
    <w:rsid w:val="00912090"/>
    <w:rsid w:val="009166C2"/>
    <w:rsid w:val="009204F3"/>
    <w:rsid w:val="00921B49"/>
    <w:rsid w:val="00922ED2"/>
    <w:rsid w:val="00926457"/>
    <w:rsid w:val="00927CFA"/>
    <w:rsid w:val="00930A87"/>
    <w:rsid w:val="00933752"/>
    <w:rsid w:val="009337F9"/>
    <w:rsid w:val="00942FE8"/>
    <w:rsid w:val="009437BA"/>
    <w:rsid w:val="00944304"/>
    <w:rsid w:val="00944730"/>
    <w:rsid w:val="00945C97"/>
    <w:rsid w:val="00947899"/>
    <w:rsid w:val="00952017"/>
    <w:rsid w:val="00952C05"/>
    <w:rsid w:val="00952FFB"/>
    <w:rsid w:val="00954357"/>
    <w:rsid w:val="0095452A"/>
    <w:rsid w:val="009566BD"/>
    <w:rsid w:val="00956A12"/>
    <w:rsid w:val="00957765"/>
    <w:rsid w:val="009604A3"/>
    <w:rsid w:val="00962875"/>
    <w:rsid w:val="009628B1"/>
    <w:rsid w:val="00962F91"/>
    <w:rsid w:val="00963281"/>
    <w:rsid w:val="009638F2"/>
    <w:rsid w:val="00964949"/>
    <w:rsid w:val="009711F7"/>
    <w:rsid w:val="009744C6"/>
    <w:rsid w:val="00976831"/>
    <w:rsid w:val="009836C1"/>
    <w:rsid w:val="00986A77"/>
    <w:rsid w:val="00990153"/>
    <w:rsid w:val="00991641"/>
    <w:rsid w:val="00992B80"/>
    <w:rsid w:val="00994263"/>
    <w:rsid w:val="009945E4"/>
    <w:rsid w:val="009949D3"/>
    <w:rsid w:val="009954C9"/>
    <w:rsid w:val="00995B8A"/>
    <w:rsid w:val="00996F3D"/>
    <w:rsid w:val="009A399F"/>
    <w:rsid w:val="009A4565"/>
    <w:rsid w:val="009B0051"/>
    <w:rsid w:val="009B0BD8"/>
    <w:rsid w:val="009B1213"/>
    <w:rsid w:val="009B17D8"/>
    <w:rsid w:val="009B5032"/>
    <w:rsid w:val="009B7530"/>
    <w:rsid w:val="009C01F4"/>
    <w:rsid w:val="009C1EAC"/>
    <w:rsid w:val="009C6DF2"/>
    <w:rsid w:val="009D2434"/>
    <w:rsid w:val="009D40A2"/>
    <w:rsid w:val="009D7F58"/>
    <w:rsid w:val="009E0AE2"/>
    <w:rsid w:val="009E6FEF"/>
    <w:rsid w:val="009F6680"/>
    <w:rsid w:val="00A00628"/>
    <w:rsid w:val="00A018C9"/>
    <w:rsid w:val="00A01EFA"/>
    <w:rsid w:val="00A02614"/>
    <w:rsid w:val="00A02EE8"/>
    <w:rsid w:val="00A0373B"/>
    <w:rsid w:val="00A038E7"/>
    <w:rsid w:val="00A065DC"/>
    <w:rsid w:val="00A074A9"/>
    <w:rsid w:val="00A103FF"/>
    <w:rsid w:val="00A11198"/>
    <w:rsid w:val="00A16208"/>
    <w:rsid w:val="00A213FD"/>
    <w:rsid w:val="00A243F7"/>
    <w:rsid w:val="00A24706"/>
    <w:rsid w:val="00A270D5"/>
    <w:rsid w:val="00A32B0E"/>
    <w:rsid w:val="00A34FDB"/>
    <w:rsid w:val="00A41278"/>
    <w:rsid w:val="00A41450"/>
    <w:rsid w:val="00A41515"/>
    <w:rsid w:val="00A42BD5"/>
    <w:rsid w:val="00A46675"/>
    <w:rsid w:val="00A469B7"/>
    <w:rsid w:val="00A4743D"/>
    <w:rsid w:val="00A47F5F"/>
    <w:rsid w:val="00A5354B"/>
    <w:rsid w:val="00A60E9C"/>
    <w:rsid w:val="00A63DCA"/>
    <w:rsid w:val="00A651EC"/>
    <w:rsid w:val="00A66416"/>
    <w:rsid w:val="00A66E6B"/>
    <w:rsid w:val="00A67205"/>
    <w:rsid w:val="00A72131"/>
    <w:rsid w:val="00A729A2"/>
    <w:rsid w:val="00A73874"/>
    <w:rsid w:val="00A75DA1"/>
    <w:rsid w:val="00A76CDC"/>
    <w:rsid w:val="00A822BF"/>
    <w:rsid w:val="00A838DB"/>
    <w:rsid w:val="00A84579"/>
    <w:rsid w:val="00A879F2"/>
    <w:rsid w:val="00A92A10"/>
    <w:rsid w:val="00A95A03"/>
    <w:rsid w:val="00AA023E"/>
    <w:rsid w:val="00AB4846"/>
    <w:rsid w:val="00AB53CB"/>
    <w:rsid w:val="00AB57A0"/>
    <w:rsid w:val="00AB5D29"/>
    <w:rsid w:val="00AB6D9E"/>
    <w:rsid w:val="00AC0E04"/>
    <w:rsid w:val="00AC7574"/>
    <w:rsid w:val="00AD219A"/>
    <w:rsid w:val="00AD21D9"/>
    <w:rsid w:val="00AE2F70"/>
    <w:rsid w:val="00AE7F6E"/>
    <w:rsid w:val="00AF1172"/>
    <w:rsid w:val="00AF332A"/>
    <w:rsid w:val="00B00E63"/>
    <w:rsid w:val="00B1095A"/>
    <w:rsid w:val="00B11CCE"/>
    <w:rsid w:val="00B1215C"/>
    <w:rsid w:val="00B1324A"/>
    <w:rsid w:val="00B139DB"/>
    <w:rsid w:val="00B13A8B"/>
    <w:rsid w:val="00B14224"/>
    <w:rsid w:val="00B1757E"/>
    <w:rsid w:val="00B21BAA"/>
    <w:rsid w:val="00B256A1"/>
    <w:rsid w:val="00B3286A"/>
    <w:rsid w:val="00B334BB"/>
    <w:rsid w:val="00B3399B"/>
    <w:rsid w:val="00B34FE3"/>
    <w:rsid w:val="00B36247"/>
    <w:rsid w:val="00B42605"/>
    <w:rsid w:val="00B42C9C"/>
    <w:rsid w:val="00B43188"/>
    <w:rsid w:val="00B444E8"/>
    <w:rsid w:val="00B46A07"/>
    <w:rsid w:val="00B518CC"/>
    <w:rsid w:val="00B5210F"/>
    <w:rsid w:val="00B53CA3"/>
    <w:rsid w:val="00B54971"/>
    <w:rsid w:val="00B6087B"/>
    <w:rsid w:val="00B63BC5"/>
    <w:rsid w:val="00B70184"/>
    <w:rsid w:val="00B77BF5"/>
    <w:rsid w:val="00B80EDD"/>
    <w:rsid w:val="00B8232B"/>
    <w:rsid w:val="00B82E5B"/>
    <w:rsid w:val="00B90FEC"/>
    <w:rsid w:val="00B912D8"/>
    <w:rsid w:val="00B95ADD"/>
    <w:rsid w:val="00B96D6D"/>
    <w:rsid w:val="00BA2CDC"/>
    <w:rsid w:val="00BA3917"/>
    <w:rsid w:val="00BA50F5"/>
    <w:rsid w:val="00BA5F95"/>
    <w:rsid w:val="00BA6380"/>
    <w:rsid w:val="00BA6725"/>
    <w:rsid w:val="00BA6EC4"/>
    <w:rsid w:val="00BA773B"/>
    <w:rsid w:val="00BA78E4"/>
    <w:rsid w:val="00BB05B0"/>
    <w:rsid w:val="00BB1002"/>
    <w:rsid w:val="00BB3F18"/>
    <w:rsid w:val="00BB473E"/>
    <w:rsid w:val="00BB72F8"/>
    <w:rsid w:val="00BB7CA5"/>
    <w:rsid w:val="00BB7ECF"/>
    <w:rsid w:val="00BC028F"/>
    <w:rsid w:val="00BC434E"/>
    <w:rsid w:val="00BC6F79"/>
    <w:rsid w:val="00BC7E83"/>
    <w:rsid w:val="00BD187B"/>
    <w:rsid w:val="00BD2B77"/>
    <w:rsid w:val="00BD3D4F"/>
    <w:rsid w:val="00BE5381"/>
    <w:rsid w:val="00BF387B"/>
    <w:rsid w:val="00BF5C79"/>
    <w:rsid w:val="00C02BD2"/>
    <w:rsid w:val="00C02E7A"/>
    <w:rsid w:val="00C061D4"/>
    <w:rsid w:val="00C069A2"/>
    <w:rsid w:val="00C0750E"/>
    <w:rsid w:val="00C14B51"/>
    <w:rsid w:val="00C1512E"/>
    <w:rsid w:val="00C26141"/>
    <w:rsid w:val="00C27817"/>
    <w:rsid w:val="00C3077C"/>
    <w:rsid w:val="00C30B73"/>
    <w:rsid w:val="00C31845"/>
    <w:rsid w:val="00C33F50"/>
    <w:rsid w:val="00C35EE6"/>
    <w:rsid w:val="00C42290"/>
    <w:rsid w:val="00C44253"/>
    <w:rsid w:val="00C45874"/>
    <w:rsid w:val="00C47A65"/>
    <w:rsid w:val="00C525A9"/>
    <w:rsid w:val="00C57FC9"/>
    <w:rsid w:val="00C621FB"/>
    <w:rsid w:val="00C67280"/>
    <w:rsid w:val="00C673DF"/>
    <w:rsid w:val="00C7317E"/>
    <w:rsid w:val="00C77071"/>
    <w:rsid w:val="00C85C68"/>
    <w:rsid w:val="00C96368"/>
    <w:rsid w:val="00CA1C8F"/>
    <w:rsid w:val="00CA307B"/>
    <w:rsid w:val="00CA7BEC"/>
    <w:rsid w:val="00CB03BD"/>
    <w:rsid w:val="00CB08CE"/>
    <w:rsid w:val="00CB0BDC"/>
    <w:rsid w:val="00CB1DB6"/>
    <w:rsid w:val="00CB5518"/>
    <w:rsid w:val="00CB554C"/>
    <w:rsid w:val="00CB7269"/>
    <w:rsid w:val="00CC13E5"/>
    <w:rsid w:val="00CC3B52"/>
    <w:rsid w:val="00CC4C5D"/>
    <w:rsid w:val="00CC68A5"/>
    <w:rsid w:val="00CC79AD"/>
    <w:rsid w:val="00CD71D3"/>
    <w:rsid w:val="00CD7866"/>
    <w:rsid w:val="00CE5EE8"/>
    <w:rsid w:val="00CF17C7"/>
    <w:rsid w:val="00CF280A"/>
    <w:rsid w:val="00CF4307"/>
    <w:rsid w:val="00CF4890"/>
    <w:rsid w:val="00CF5EC8"/>
    <w:rsid w:val="00CF74BA"/>
    <w:rsid w:val="00D00400"/>
    <w:rsid w:val="00D016E6"/>
    <w:rsid w:val="00D02536"/>
    <w:rsid w:val="00D02543"/>
    <w:rsid w:val="00D051C2"/>
    <w:rsid w:val="00D05F87"/>
    <w:rsid w:val="00D11434"/>
    <w:rsid w:val="00D13AF7"/>
    <w:rsid w:val="00D150B9"/>
    <w:rsid w:val="00D15509"/>
    <w:rsid w:val="00D15DB9"/>
    <w:rsid w:val="00D203CC"/>
    <w:rsid w:val="00D20ED8"/>
    <w:rsid w:val="00D215B7"/>
    <w:rsid w:val="00D22D8C"/>
    <w:rsid w:val="00D307E8"/>
    <w:rsid w:val="00D31489"/>
    <w:rsid w:val="00D32060"/>
    <w:rsid w:val="00D3308B"/>
    <w:rsid w:val="00D4277D"/>
    <w:rsid w:val="00D4393A"/>
    <w:rsid w:val="00D47B7A"/>
    <w:rsid w:val="00D504BC"/>
    <w:rsid w:val="00D510E7"/>
    <w:rsid w:val="00D53773"/>
    <w:rsid w:val="00D539B6"/>
    <w:rsid w:val="00D54995"/>
    <w:rsid w:val="00D61C2B"/>
    <w:rsid w:val="00D625B7"/>
    <w:rsid w:val="00D62E43"/>
    <w:rsid w:val="00D63BB9"/>
    <w:rsid w:val="00D65828"/>
    <w:rsid w:val="00D730C9"/>
    <w:rsid w:val="00D730EF"/>
    <w:rsid w:val="00D7569E"/>
    <w:rsid w:val="00D7618D"/>
    <w:rsid w:val="00D76825"/>
    <w:rsid w:val="00D76AE4"/>
    <w:rsid w:val="00D808AB"/>
    <w:rsid w:val="00D8236E"/>
    <w:rsid w:val="00D83CDE"/>
    <w:rsid w:val="00D84376"/>
    <w:rsid w:val="00D85AEE"/>
    <w:rsid w:val="00D86619"/>
    <w:rsid w:val="00D91AEB"/>
    <w:rsid w:val="00D93F97"/>
    <w:rsid w:val="00DA4F49"/>
    <w:rsid w:val="00DB0C06"/>
    <w:rsid w:val="00DB15A9"/>
    <w:rsid w:val="00DB2E80"/>
    <w:rsid w:val="00DB4B70"/>
    <w:rsid w:val="00DB5269"/>
    <w:rsid w:val="00DB5369"/>
    <w:rsid w:val="00DC1595"/>
    <w:rsid w:val="00DC4F8E"/>
    <w:rsid w:val="00DC588D"/>
    <w:rsid w:val="00DC5B5B"/>
    <w:rsid w:val="00DC5C33"/>
    <w:rsid w:val="00DD0D87"/>
    <w:rsid w:val="00DD280D"/>
    <w:rsid w:val="00DE0439"/>
    <w:rsid w:val="00DE3D15"/>
    <w:rsid w:val="00DE431D"/>
    <w:rsid w:val="00DE6D28"/>
    <w:rsid w:val="00DF0D08"/>
    <w:rsid w:val="00DF148C"/>
    <w:rsid w:val="00DF4543"/>
    <w:rsid w:val="00DF6919"/>
    <w:rsid w:val="00E050E1"/>
    <w:rsid w:val="00E058F0"/>
    <w:rsid w:val="00E066FE"/>
    <w:rsid w:val="00E07742"/>
    <w:rsid w:val="00E11A30"/>
    <w:rsid w:val="00E15519"/>
    <w:rsid w:val="00E17712"/>
    <w:rsid w:val="00E179CC"/>
    <w:rsid w:val="00E20339"/>
    <w:rsid w:val="00E20734"/>
    <w:rsid w:val="00E22454"/>
    <w:rsid w:val="00E22C9E"/>
    <w:rsid w:val="00E26E8C"/>
    <w:rsid w:val="00E27A17"/>
    <w:rsid w:val="00E3554F"/>
    <w:rsid w:val="00E432CC"/>
    <w:rsid w:val="00E4608D"/>
    <w:rsid w:val="00E461BB"/>
    <w:rsid w:val="00E46B15"/>
    <w:rsid w:val="00E475AD"/>
    <w:rsid w:val="00E50E30"/>
    <w:rsid w:val="00E56A89"/>
    <w:rsid w:val="00E57F7A"/>
    <w:rsid w:val="00E605C2"/>
    <w:rsid w:val="00E6214B"/>
    <w:rsid w:val="00E62713"/>
    <w:rsid w:val="00E647F2"/>
    <w:rsid w:val="00E64C5E"/>
    <w:rsid w:val="00E65718"/>
    <w:rsid w:val="00E72C0C"/>
    <w:rsid w:val="00E73F16"/>
    <w:rsid w:val="00E74304"/>
    <w:rsid w:val="00E75279"/>
    <w:rsid w:val="00E77C55"/>
    <w:rsid w:val="00E77D5E"/>
    <w:rsid w:val="00E814B1"/>
    <w:rsid w:val="00E82F38"/>
    <w:rsid w:val="00E92C13"/>
    <w:rsid w:val="00E93018"/>
    <w:rsid w:val="00E93084"/>
    <w:rsid w:val="00E946D8"/>
    <w:rsid w:val="00E9497D"/>
    <w:rsid w:val="00E94ED4"/>
    <w:rsid w:val="00E97A40"/>
    <w:rsid w:val="00EB1273"/>
    <w:rsid w:val="00EB134F"/>
    <w:rsid w:val="00EB1354"/>
    <w:rsid w:val="00EB41F9"/>
    <w:rsid w:val="00EB7E20"/>
    <w:rsid w:val="00EC3A14"/>
    <w:rsid w:val="00ED0BF0"/>
    <w:rsid w:val="00ED2065"/>
    <w:rsid w:val="00ED4CF9"/>
    <w:rsid w:val="00EE1301"/>
    <w:rsid w:val="00EE3115"/>
    <w:rsid w:val="00EE4F3F"/>
    <w:rsid w:val="00EE5CEB"/>
    <w:rsid w:val="00EF0850"/>
    <w:rsid w:val="00EF169A"/>
    <w:rsid w:val="00EF3761"/>
    <w:rsid w:val="00EF49C7"/>
    <w:rsid w:val="00EF5F0F"/>
    <w:rsid w:val="00F0009B"/>
    <w:rsid w:val="00F01236"/>
    <w:rsid w:val="00F01A20"/>
    <w:rsid w:val="00F03E30"/>
    <w:rsid w:val="00F06E71"/>
    <w:rsid w:val="00F16384"/>
    <w:rsid w:val="00F16BC4"/>
    <w:rsid w:val="00F17E45"/>
    <w:rsid w:val="00F20AE6"/>
    <w:rsid w:val="00F23EE3"/>
    <w:rsid w:val="00F25120"/>
    <w:rsid w:val="00F27166"/>
    <w:rsid w:val="00F303DC"/>
    <w:rsid w:val="00F30E45"/>
    <w:rsid w:val="00F31C88"/>
    <w:rsid w:val="00F36F9A"/>
    <w:rsid w:val="00F41772"/>
    <w:rsid w:val="00F42016"/>
    <w:rsid w:val="00F42790"/>
    <w:rsid w:val="00F42B04"/>
    <w:rsid w:val="00F42BE9"/>
    <w:rsid w:val="00F432B3"/>
    <w:rsid w:val="00F434F8"/>
    <w:rsid w:val="00F44D55"/>
    <w:rsid w:val="00F462B7"/>
    <w:rsid w:val="00F46766"/>
    <w:rsid w:val="00F523FF"/>
    <w:rsid w:val="00F540C8"/>
    <w:rsid w:val="00F55D7B"/>
    <w:rsid w:val="00F562C8"/>
    <w:rsid w:val="00F573BE"/>
    <w:rsid w:val="00F61ACE"/>
    <w:rsid w:val="00F66124"/>
    <w:rsid w:val="00F67CE4"/>
    <w:rsid w:val="00F7434E"/>
    <w:rsid w:val="00F7463C"/>
    <w:rsid w:val="00F8352A"/>
    <w:rsid w:val="00F86119"/>
    <w:rsid w:val="00F8664D"/>
    <w:rsid w:val="00F9364A"/>
    <w:rsid w:val="00F948A9"/>
    <w:rsid w:val="00F94E5C"/>
    <w:rsid w:val="00F95F60"/>
    <w:rsid w:val="00F96F6B"/>
    <w:rsid w:val="00FA05B7"/>
    <w:rsid w:val="00FA25A2"/>
    <w:rsid w:val="00FA55A8"/>
    <w:rsid w:val="00FA5D7E"/>
    <w:rsid w:val="00FA7C90"/>
    <w:rsid w:val="00FB0AC1"/>
    <w:rsid w:val="00FB0FAD"/>
    <w:rsid w:val="00FB48BF"/>
    <w:rsid w:val="00FB4DB7"/>
    <w:rsid w:val="00FB57D8"/>
    <w:rsid w:val="00FB65DA"/>
    <w:rsid w:val="00FB6A4F"/>
    <w:rsid w:val="00FC0C19"/>
    <w:rsid w:val="00FC122D"/>
    <w:rsid w:val="00FC1D6C"/>
    <w:rsid w:val="00FC2B93"/>
    <w:rsid w:val="00FC632F"/>
    <w:rsid w:val="00FC6AD2"/>
    <w:rsid w:val="00FC78C7"/>
    <w:rsid w:val="00FD005A"/>
    <w:rsid w:val="00FD19CC"/>
    <w:rsid w:val="00FD2283"/>
    <w:rsid w:val="00FF0661"/>
    <w:rsid w:val="00FF19D1"/>
    <w:rsid w:val="00FF1D27"/>
    <w:rsid w:val="00FF26EB"/>
    <w:rsid w:val="00FF28C7"/>
    <w:rsid w:val="00FF557C"/>
    <w:rsid w:val="00FF5ACE"/>
    <w:rsid w:val="00FF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6FAAC4CC"/>
  <w15:docId w15:val="{EE5CD388-366D-47C1-96BD-81EB5E60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aliases w:val="PC15 Heading 1"/>
    <w:basedOn w:val="ListParagraph"/>
    <w:next w:val="Heading2"/>
    <w:link w:val="Heading1Char"/>
    <w:uiPriority w:val="9"/>
    <w:qFormat/>
    <w:rsid w:val="00F27166"/>
    <w:pPr>
      <w:numPr>
        <w:numId w:val="4"/>
      </w:numPr>
      <w:spacing w:before="0" w:after="300"/>
      <w:outlineLvl w:val="0"/>
    </w:pPr>
    <w:rPr>
      <w:b/>
      <w:sz w:val="40"/>
      <w:szCs w:val="40"/>
    </w:rPr>
  </w:style>
  <w:style w:type="paragraph" w:styleId="Heading2">
    <w:name w:val="heading 2"/>
    <w:aliases w:val="PC15 Heading 2"/>
    <w:next w:val="Heading3"/>
    <w:link w:val="Heading2Char"/>
    <w:uiPriority w:val="99"/>
    <w:qFormat/>
    <w:rsid w:val="00527542"/>
    <w:pPr>
      <w:numPr>
        <w:ilvl w:val="1"/>
        <w:numId w:val="4"/>
      </w:numPr>
      <w:spacing w:after="320"/>
      <w:outlineLvl w:val="1"/>
    </w:pPr>
    <w:rPr>
      <w:rFonts w:ascii="Arial" w:eastAsia="Arial" w:hAnsi="Arial" w:cs="Arial"/>
      <w:b/>
      <w:sz w:val="28"/>
      <w:szCs w:val="28"/>
      <w:lang w:val="en-GB" w:eastAsia="en-GB" w:bidi="en-GB"/>
    </w:rPr>
  </w:style>
  <w:style w:type="paragraph" w:styleId="Heading3">
    <w:name w:val="heading 3"/>
    <w:aliases w:val="PC15 Heading 3"/>
    <w:link w:val="Heading3Char"/>
    <w:uiPriority w:val="9"/>
    <w:unhideWhenUsed/>
    <w:qFormat/>
    <w:rsid w:val="00A038E7"/>
    <w:pPr>
      <w:widowControl/>
      <w:numPr>
        <w:ilvl w:val="2"/>
        <w:numId w:val="4"/>
      </w:numPr>
      <w:spacing w:after="220" w:line="276" w:lineRule="auto"/>
      <w:outlineLvl w:val="2"/>
    </w:pPr>
    <w:rPr>
      <w:rFonts w:ascii="Arial" w:eastAsia="Arial" w:hAnsi="Arial" w:cs="Arial"/>
      <w:sz w:val="24"/>
      <w:szCs w:val="24"/>
      <w:lang w:val="en-GB" w:eastAsia="en-GB" w:bidi="en-GB"/>
    </w:rPr>
  </w:style>
  <w:style w:type="paragraph" w:styleId="Heading4">
    <w:name w:val="heading 4"/>
    <w:link w:val="Heading4Char"/>
    <w:uiPriority w:val="9"/>
    <w:unhideWhenUsed/>
    <w:qFormat/>
    <w:rsid w:val="00F27166"/>
    <w:pPr>
      <w:numPr>
        <w:ilvl w:val="3"/>
        <w:numId w:val="4"/>
      </w:numPr>
      <w:spacing w:after="220" w:line="276" w:lineRule="auto"/>
      <w:outlineLvl w:val="3"/>
    </w:pPr>
    <w:rPr>
      <w:rFonts w:ascii="Arial" w:eastAsia="Arial" w:hAnsi="Arial" w:cs="Arial"/>
      <w:sz w:val="24"/>
      <w:szCs w:val="24"/>
      <w:lang w:val="en-GB" w:eastAsia="en-GB" w:bidi="en-GB"/>
    </w:rPr>
  </w:style>
  <w:style w:type="paragraph" w:styleId="Heading5">
    <w:name w:val="heading 5"/>
    <w:basedOn w:val="ListParagraph"/>
    <w:link w:val="Heading5Char"/>
    <w:uiPriority w:val="9"/>
    <w:unhideWhenUsed/>
    <w:qFormat/>
    <w:rsid w:val="00F27166"/>
    <w:pPr>
      <w:numPr>
        <w:ilvl w:val="4"/>
        <w:numId w:val="4"/>
      </w:numPr>
      <w:spacing w:before="0" w:after="220" w:line="276" w:lineRule="auto"/>
      <w:outlineLvl w:val="4"/>
    </w:pPr>
    <w:rPr>
      <w:sz w:val="24"/>
      <w:szCs w:val="24"/>
    </w:rPr>
  </w:style>
  <w:style w:type="paragraph" w:styleId="Heading6">
    <w:name w:val="heading 6"/>
    <w:basedOn w:val="ListParagraph"/>
    <w:link w:val="Heading6Char"/>
    <w:uiPriority w:val="9"/>
    <w:unhideWhenUsed/>
    <w:qFormat/>
    <w:rsid w:val="00F27166"/>
    <w:pPr>
      <w:numPr>
        <w:ilvl w:val="5"/>
        <w:numId w:val="4"/>
      </w:numPr>
      <w:spacing w:before="0" w:after="220" w:line="276" w:lineRule="auto"/>
      <w:outlineLvl w:val="5"/>
    </w:pPr>
    <w:rPr>
      <w:sz w:val="24"/>
      <w:szCs w:val="24"/>
    </w:rPr>
  </w:style>
  <w:style w:type="paragraph" w:styleId="Heading7">
    <w:name w:val="heading 7"/>
    <w:basedOn w:val="Heading6"/>
    <w:link w:val="Heading7Char"/>
    <w:uiPriority w:val="9"/>
    <w:unhideWhenUsed/>
    <w:qFormat/>
    <w:rsid w:val="00415B13"/>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117"/>
      <w:ind w:left="410" w:hanging="300"/>
    </w:pPr>
  </w:style>
  <w:style w:type="character" w:customStyle="1" w:styleId="ListParagraphChar">
    <w:name w:val="List Paragraph Char"/>
    <w:basedOn w:val="DefaultParagraphFont"/>
    <w:link w:val="ListParagraph"/>
    <w:uiPriority w:val="34"/>
    <w:rsid w:val="00BB3F18"/>
    <w:rPr>
      <w:rFonts w:ascii="Arial" w:eastAsia="Arial" w:hAnsi="Arial" w:cs="Arial"/>
      <w:lang w:val="en-GB" w:eastAsia="en-GB" w:bidi="en-GB"/>
    </w:rPr>
  </w:style>
  <w:style w:type="character" w:customStyle="1" w:styleId="Heading3Char">
    <w:name w:val="Heading 3 Char"/>
    <w:aliases w:val="PC15 Heading 3 Char"/>
    <w:basedOn w:val="DefaultParagraphFont"/>
    <w:link w:val="Heading3"/>
    <w:uiPriority w:val="9"/>
    <w:rsid w:val="00A038E7"/>
    <w:rPr>
      <w:rFonts w:ascii="Arial" w:eastAsia="Arial" w:hAnsi="Arial" w:cs="Arial"/>
      <w:sz w:val="24"/>
      <w:szCs w:val="24"/>
      <w:lang w:val="en-GB" w:eastAsia="en-GB" w:bidi="en-GB"/>
    </w:rPr>
  </w:style>
  <w:style w:type="character" w:customStyle="1" w:styleId="Heading2Char">
    <w:name w:val="Heading 2 Char"/>
    <w:aliases w:val="PC15 Heading 2 Char"/>
    <w:basedOn w:val="DefaultParagraphFont"/>
    <w:link w:val="Heading2"/>
    <w:uiPriority w:val="99"/>
    <w:rsid w:val="00527542"/>
    <w:rPr>
      <w:rFonts w:ascii="Arial" w:eastAsia="Arial" w:hAnsi="Arial" w:cs="Arial"/>
      <w:b/>
      <w:sz w:val="28"/>
      <w:szCs w:val="28"/>
      <w:lang w:val="en-GB" w:eastAsia="en-GB" w:bidi="en-GB"/>
    </w:rPr>
  </w:style>
  <w:style w:type="character" w:customStyle="1" w:styleId="Heading1Char">
    <w:name w:val="Heading 1 Char"/>
    <w:aliases w:val="PC15 Heading 1 Char"/>
    <w:basedOn w:val="DefaultParagraphFont"/>
    <w:link w:val="Heading1"/>
    <w:uiPriority w:val="1"/>
    <w:rsid w:val="00F27166"/>
    <w:rPr>
      <w:rFonts w:ascii="Arial" w:eastAsia="Arial" w:hAnsi="Arial" w:cs="Arial"/>
      <w:b/>
      <w:sz w:val="40"/>
      <w:szCs w:val="40"/>
      <w:lang w:val="en-GB" w:eastAsia="en-GB" w:bidi="en-GB"/>
    </w:rPr>
  </w:style>
  <w:style w:type="character" w:customStyle="1" w:styleId="Heading4Char">
    <w:name w:val="Heading 4 Char"/>
    <w:basedOn w:val="DefaultParagraphFont"/>
    <w:link w:val="Heading4"/>
    <w:uiPriority w:val="9"/>
    <w:rsid w:val="00F27166"/>
    <w:rPr>
      <w:rFonts w:ascii="Arial" w:eastAsia="Arial" w:hAnsi="Arial" w:cs="Arial"/>
      <w:sz w:val="24"/>
      <w:szCs w:val="24"/>
      <w:lang w:val="en-GB" w:eastAsia="en-GB" w:bidi="en-GB"/>
    </w:rPr>
  </w:style>
  <w:style w:type="character" w:customStyle="1" w:styleId="Heading5Char">
    <w:name w:val="Heading 5 Char"/>
    <w:basedOn w:val="DefaultParagraphFont"/>
    <w:link w:val="Heading5"/>
    <w:uiPriority w:val="9"/>
    <w:rsid w:val="00F27166"/>
    <w:rPr>
      <w:rFonts w:ascii="Arial" w:eastAsia="Arial" w:hAnsi="Arial" w:cs="Arial"/>
      <w:sz w:val="24"/>
      <w:szCs w:val="24"/>
      <w:lang w:val="en-GB" w:eastAsia="en-GB" w:bidi="en-GB"/>
    </w:rPr>
  </w:style>
  <w:style w:type="character" w:customStyle="1" w:styleId="Heading6Char">
    <w:name w:val="Heading 6 Char"/>
    <w:basedOn w:val="DefaultParagraphFont"/>
    <w:link w:val="Heading6"/>
    <w:uiPriority w:val="9"/>
    <w:rsid w:val="00F27166"/>
    <w:rPr>
      <w:rFonts w:ascii="Arial" w:eastAsia="Arial" w:hAnsi="Arial" w:cs="Arial"/>
      <w:sz w:val="24"/>
      <w:szCs w:val="24"/>
      <w:lang w:val="en-GB" w:eastAsia="en-GB" w:bidi="en-GB"/>
    </w:rPr>
  </w:style>
  <w:style w:type="character" w:customStyle="1" w:styleId="Heading7Char">
    <w:name w:val="Heading 7 Char"/>
    <w:basedOn w:val="DefaultParagraphFont"/>
    <w:link w:val="Heading7"/>
    <w:uiPriority w:val="9"/>
    <w:rsid w:val="00415B13"/>
    <w:rPr>
      <w:rFonts w:ascii="Arial" w:eastAsia="Arial" w:hAnsi="Arial" w:cs="Arial"/>
      <w:sz w:val="24"/>
      <w:szCs w:val="24"/>
      <w:lang w:val="en-GB" w:eastAsia="en-GB" w:bidi="en-GB"/>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paragraph" w:customStyle="1" w:styleId="TableParagraph">
    <w:name w:val="Table Paragraph"/>
    <w:basedOn w:val="Normal"/>
    <w:uiPriority w:val="1"/>
    <w:qFormat/>
    <w:rsid w:val="00235EFA"/>
    <w:pPr>
      <w:spacing w:before="60" w:after="60"/>
    </w:pPr>
  </w:style>
  <w:style w:type="paragraph" w:styleId="Header">
    <w:name w:val="header"/>
    <w:basedOn w:val="Normal"/>
    <w:link w:val="HeaderChar"/>
    <w:uiPriority w:val="99"/>
    <w:unhideWhenUs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rsid w:val="00D1550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next w:val="Normal"/>
    <w:autoRedefine/>
    <w:uiPriority w:val="39"/>
    <w:unhideWhenUsed/>
    <w:rsid w:val="00930A87"/>
    <w:pPr>
      <w:tabs>
        <w:tab w:val="left" w:pos="851"/>
        <w:tab w:val="right" w:leader="dot" w:pos="9020"/>
      </w:tabs>
      <w:spacing w:before="220" w:after="120"/>
    </w:pPr>
    <w:rPr>
      <w:rFonts w:ascii="Arial" w:eastAsia="Arial" w:hAnsi="Arial" w:cs="Arial"/>
      <w:b/>
      <w:sz w:val="28"/>
      <w:lang w:val="en-GB" w:eastAsia="en-GB" w:bidi="en-GB"/>
    </w:rPr>
  </w:style>
  <w:style w:type="paragraph" w:styleId="TOC2">
    <w:name w:val="toc 2"/>
    <w:next w:val="Normal"/>
    <w:autoRedefine/>
    <w:uiPriority w:val="39"/>
    <w:unhideWhenUsed/>
    <w:rsid w:val="000D542F"/>
    <w:pPr>
      <w:spacing w:after="60"/>
      <w:ind w:left="851"/>
    </w:pPr>
    <w:rPr>
      <w:rFonts w:ascii="Arial" w:eastAsia="Arial" w:hAnsi="Arial" w:cs="Arial"/>
      <w:sz w:val="24"/>
      <w:lang w:val="en-GB" w:eastAsia="en-GB" w:bidi="en-GB"/>
    </w:rPr>
  </w:style>
  <w:style w:type="character" w:styleId="Hyperlink">
    <w:name w:val="Hyperlink"/>
    <w:basedOn w:val="DefaultParagraphFont"/>
    <w:uiPriority w:val="99"/>
    <w:unhideWhenUsed/>
    <w:rsid w:val="00D15509"/>
    <w:rPr>
      <w:color w:val="0000FF" w:themeColor="hyperlink"/>
      <w:u w:val="single"/>
    </w:rPr>
  </w:style>
  <w:style w:type="paragraph" w:styleId="BalloonText">
    <w:name w:val="Balloon Text"/>
    <w:basedOn w:val="Normal"/>
    <w:link w:val="BalloonTextChar"/>
    <w:uiPriority w:val="99"/>
    <w:semiHidden/>
    <w:unhideWhenUs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rsid w:val="009B5032"/>
    <w:pPr>
      <w:spacing w:before="24" w:after="160" w:line="276" w:lineRule="auto"/>
    </w:pPr>
    <w:rPr>
      <w:rFonts w:ascii="Arial" w:eastAsia="Arial" w:hAnsi="Arial" w:cs="Arial"/>
      <w:b/>
      <w:bCs/>
      <w:color w:val="000000" w:themeColor="text1"/>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Abstracttitle">
    <w:name w:val="UR Abstract title"/>
    <w:link w:val="URAbstracttitleChar"/>
    <w:uiPriority w:val="1"/>
    <w:qFormat/>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883B4B"/>
    <w:pPr>
      <w:spacing w:before="258" w:line="276" w:lineRule="auto"/>
    </w:pPr>
    <w:rPr>
      <w:rFonts w:ascii="Arial" w:eastAsia="Arial" w:hAnsi="Arial" w:cs="Arial"/>
      <w:b/>
      <w:color w:val="000000" w:themeColor="text1"/>
      <w:sz w:val="40"/>
      <w:lang w:val="en-GB" w:eastAsia="en-GB" w:bidi="en-GB"/>
    </w:rPr>
  </w:style>
  <w:style w:type="character" w:customStyle="1" w:styleId="URContentstitleChar">
    <w:name w:val="UR Contents title Char"/>
    <w:basedOn w:val="DefaultParagraphFont"/>
    <w:link w:val="URContentstitle"/>
    <w:uiPriority w:val="1"/>
    <w:rsid w:val="00883B4B"/>
    <w:rPr>
      <w:rFonts w:ascii="Arial" w:eastAsia="Arial" w:hAnsi="Arial" w:cs="Arial"/>
      <w:b/>
      <w:color w:val="000000" w:themeColor="text1"/>
      <w:sz w:val="40"/>
      <w:lang w:val="en-GB" w:eastAsia="en-GB" w:bidi="en-GB"/>
    </w:rPr>
  </w:style>
  <w:style w:type="paragraph" w:customStyle="1" w:styleId="URExecSumtitle">
    <w:name w:val="UR Exec Sum title"/>
    <w:link w:val="URExecSumtitleChar"/>
    <w:uiPriority w:val="1"/>
    <w:qFormat/>
    <w:rsid w:val="009B5032"/>
    <w:pPr>
      <w:spacing w:before="24" w:after="156" w:line="276" w:lineRule="auto"/>
    </w:pPr>
    <w:rPr>
      <w:rFonts w:ascii="Arial" w:eastAsia="Arial" w:hAnsi="Arial" w:cs="Arial"/>
      <w:b/>
      <w:bCs/>
      <w:color w:val="000000" w:themeColor="text1"/>
      <w:sz w:val="40"/>
      <w:szCs w:val="40"/>
      <w:lang w:val="en-GB" w:eastAsia="en-GB" w:bidi="en-GB"/>
    </w:rPr>
  </w:style>
  <w:style w:type="character" w:customStyle="1" w:styleId="URExecSumtitleChar">
    <w:name w:val="UR Exec Sum title Char"/>
    <w:basedOn w:val="Heading1Char"/>
    <w:link w:val="URExecSumtitle"/>
    <w:uiPriority w:val="1"/>
    <w:rsid w:val="009B5032"/>
    <w:rPr>
      <w:rFonts w:ascii="Arial" w:eastAsia="Arial" w:hAnsi="Arial" w:cs="Arial"/>
      <w:b/>
      <w:color w:val="000000" w:themeColor="text1"/>
      <w:sz w:val="40"/>
      <w:szCs w:val="40"/>
      <w:lang w:val="en-GB" w:eastAsia="en-GB" w:bidi="en-GB"/>
    </w:rPr>
  </w:style>
  <w:style w:type="paragraph" w:customStyle="1" w:styleId="URExecSumparagraph">
    <w:name w:val="UR Exec Sum paragraph"/>
    <w:link w:val="URExecSumparagraphChar"/>
    <w:uiPriority w:val="1"/>
    <w:qFormat/>
    <w:rsid w:val="005D7F22"/>
    <w:pPr>
      <w:spacing w:after="240" w:line="276" w:lineRule="auto"/>
    </w:pPr>
    <w:rPr>
      <w:rFonts w:ascii="Arial" w:eastAsia="Arial" w:hAnsi="Arial" w:cs="Arial"/>
      <w:color w:val="000000"/>
      <w:sz w:val="24"/>
      <w:szCs w:val="24"/>
      <w:shd w:val="clear" w:color="auto" w:fill="FFFFFF"/>
      <w:lang w:val="en-GB" w:eastAsia="en-GB" w:bidi="en-GB"/>
    </w:rPr>
  </w:style>
  <w:style w:type="character" w:customStyle="1" w:styleId="URExecSumparagraphChar">
    <w:name w:val="UR Exec Sum paragraph Char"/>
    <w:basedOn w:val="BodyTextChar"/>
    <w:link w:val="URExecSumparagraph"/>
    <w:uiPriority w:val="1"/>
    <w:rsid w:val="005D7F22"/>
    <w:rPr>
      <w:rFonts w:ascii="Arial" w:eastAsia="Arial" w:hAnsi="Arial" w:cs="Arial"/>
      <w:color w:val="000000"/>
      <w:sz w:val="24"/>
      <w:szCs w:val="24"/>
      <w:lang w:val="en-GB" w:eastAsia="en-GB" w:bidi="en-GB"/>
    </w:rPr>
  </w:style>
  <w:style w:type="paragraph" w:styleId="TOC3">
    <w:name w:val="toc 3"/>
    <w:basedOn w:val="Normal"/>
    <w:next w:val="Normal"/>
    <w:autoRedefine/>
    <w:uiPriority w:val="39"/>
    <w:unhideWhenUsed/>
    <w:rsid w:val="00883B4B"/>
    <w:pPr>
      <w:spacing w:after="100"/>
      <w:ind w:left="440"/>
    </w:pPr>
  </w:style>
  <w:style w:type="paragraph" w:customStyle="1" w:styleId="URExSumbullet">
    <w:name w:val="UR ExSum bullet"/>
    <w:link w:val="URExSumbulletChar"/>
    <w:uiPriority w:val="1"/>
    <w:qFormat/>
    <w:rsid w:val="005D7F22"/>
    <w:pPr>
      <w:numPr>
        <w:numId w:val="6"/>
      </w:numPr>
      <w:spacing w:after="240"/>
      <w:ind w:left="1134" w:hanging="850"/>
    </w:pPr>
    <w:rPr>
      <w:rFonts w:ascii="Arial" w:eastAsia="Arial" w:hAnsi="Arial" w:cs="Arial"/>
      <w:color w:val="000000"/>
      <w:sz w:val="24"/>
      <w:szCs w:val="24"/>
      <w:shd w:val="clear" w:color="auto" w:fill="FFFFFF"/>
      <w:lang w:val="en-GB" w:eastAsia="en-GB" w:bidi="en-GB"/>
    </w:rPr>
  </w:style>
  <w:style w:type="character" w:customStyle="1" w:styleId="URExSumbulletChar">
    <w:name w:val="UR ExSum bullet Char"/>
    <w:basedOn w:val="DefaultParagraphFont"/>
    <w:link w:val="URExSumbullet"/>
    <w:uiPriority w:val="1"/>
    <w:rsid w:val="005D7F22"/>
    <w:rPr>
      <w:rFonts w:ascii="Arial" w:eastAsia="Arial" w:hAnsi="Arial" w:cs="Arial"/>
      <w:color w:val="000000"/>
      <w:sz w:val="24"/>
      <w:szCs w:val="24"/>
      <w:lang w:val="en-GB" w:eastAsia="en-GB" w:bidi="en-GB"/>
    </w:rPr>
  </w:style>
  <w:style w:type="paragraph" w:styleId="Caption">
    <w:name w:val="caption"/>
    <w:basedOn w:val="Normal"/>
    <w:next w:val="Heading3"/>
    <w:uiPriority w:val="35"/>
    <w:unhideWhenUsed/>
    <w:qFormat/>
    <w:rsid w:val="00775B79"/>
    <w:pPr>
      <w:spacing w:before="160" w:after="240"/>
      <w:ind w:left="851"/>
    </w:pPr>
    <w:rPr>
      <w:b/>
      <w:iCs/>
      <w:sz w:val="24"/>
      <w:szCs w:val="24"/>
    </w:rPr>
  </w:style>
  <w:style w:type="table" w:styleId="TableGrid">
    <w:name w:val="Table Grid"/>
    <w:basedOn w:val="TableNormal"/>
    <w:uiPriority w:val="39"/>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qFormat/>
    <w:rsid w:val="00415B13"/>
    <w:pPr>
      <w:spacing w:before="60" w:after="60"/>
    </w:pPr>
    <w:rPr>
      <w:rFonts w:ascii="Arial" w:eastAsia="Arial" w:hAnsi="Arial" w:cs="Arial"/>
      <w:szCs w:val="24"/>
      <w:lang w:val="en-GB" w:eastAsia="en-GB" w:bidi="en-GB"/>
    </w:rPr>
  </w:style>
  <w:style w:type="character" w:customStyle="1" w:styleId="URTabletextChar">
    <w:name w:val="UR Table text Char"/>
    <w:basedOn w:val="DefaultParagraphFont"/>
    <w:link w:val="URTabletext"/>
    <w:uiPriority w:val="1"/>
    <w:rsid w:val="00415B13"/>
    <w:rPr>
      <w:rFonts w:ascii="Arial" w:eastAsia="Arial" w:hAnsi="Arial" w:cs="Arial"/>
      <w:szCs w:val="24"/>
      <w:lang w:val="en-GB" w:eastAsia="en-GB" w:bidi="en-GB"/>
    </w:rPr>
  </w:style>
  <w:style w:type="paragraph" w:customStyle="1" w:styleId="DDTable">
    <w:name w:val="DD Table"/>
    <w:basedOn w:val="Normal"/>
    <w:link w:val="DDTableChar"/>
    <w:qFormat/>
    <w:rsid w:val="0014518F"/>
    <w:pPr>
      <w:widowControl/>
      <w:autoSpaceDE/>
      <w:autoSpaceDN/>
      <w:spacing w:before="80" w:after="80"/>
    </w:pPr>
    <w:rPr>
      <w:rFonts w:eastAsia="Times New Roman"/>
      <w:sz w:val="20"/>
      <w:szCs w:val="20"/>
      <w:lang w:eastAsia="en-US" w:bidi="ar-SA"/>
    </w:rPr>
  </w:style>
  <w:style w:type="character" w:customStyle="1" w:styleId="DDTableChar">
    <w:name w:val="DD Table Char"/>
    <w:basedOn w:val="DefaultParagraphFont"/>
    <w:link w:val="DDTable"/>
    <w:rsid w:val="0014518F"/>
    <w:rPr>
      <w:rFonts w:ascii="Arial" w:eastAsia="Times New Roman" w:hAnsi="Arial" w:cs="Arial"/>
      <w:sz w:val="20"/>
      <w:szCs w:val="20"/>
      <w:lang w:val="en-GB"/>
    </w:rPr>
  </w:style>
  <w:style w:type="paragraph" w:customStyle="1" w:styleId="DDTableheader">
    <w:name w:val="DD Table header"/>
    <w:basedOn w:val="DDTable"/>
    <w:link w:val="DDTableheaderChar"/>
    <w:qFormat/>
    <w:rsid w:val="0014518F"/>
    <w:rPr>
      <w:b/>
    </w:rPr>
  </w:style>
  <w:style w:type="character" w:customStyle="1" w:styleId="DDTableheaderChar">
    <w:name w:val="DD Table header Char"/>
    <w:basedOn w:val="DDTableChar"/>
    <w:link w:val="DDTableheader"/>
    <w:rsid w:val="0014518F"/>
    <w:rPr>
      <w:rFonts w:ascii="Arial" w:eastAsia="Times New Roman" w:hAnsi="Arial" w:cs="Arial"/>
      <w:b/>
      <w:sz w:val="20"/>
      <w:szCs w:val="20"/>
      <w:lang w:val="en-GB"/>
    </w:rPr>
  </w:style>
  <w:style w:type="paragraph" w:customStyle="1" w:styleId="URTablebulletlist">
    <w:name w:val="UR Table bullet list"/>
    <w:link w:val="URTablebulletlistChar"/>
    <w:qFormat/>
    <w:rsid w:val="00F42B04"/>
    <w:pPr>
      <w:widowControl/>
      <w:numPr>
        <w:numId w:val="10"/>
      </w:numPr>
      <w:autoSpaceDE/>
      <w:autoSpaceDN/>
      <w:spacing w:before="80" w:after="80"/>
    </w:pPr>
    <w:rPr>
      <w:rFonts w:ascii="Arial" w:eastAsia="Times New Roman" w:hAnsi="Arial" w:cs="Arial"/>
      <w:lang w:val="en-GB" w:eastAsia="en-GB"/>
    </w:rPr>
  </w:style>
  <w:style w:type="character" w:customStyle="1" w:styleId="URTablebulletlistChar">
    <w:name w:val="UR Table bullet list Char"/>
    <w:basedOn w:val="DDTableChar"/>
    <w:link w:val="URTablebulletlist"/>
    <w:rsid w:val="00F42B04"/>
    <w:rPr>
      <w:rFonts w:ascii="Arial" w:eastAsia="Times New Roman" w:hAnsi="Arial" w:cs="Arial"/>
      <w:sz w:val="20"/>
      <w:szCs w:val="20"/>
      <w:lang w:val="en-GB" w:eastAsia="en-GB"/>
    </w:rPr>
  </w:style>
  <w:style w:type="character" w:styleId="CommentReference">
    <w:name w:val="annotation reference"/>
    <w:basedOn w:val="DefaultParagraphFont"/>
    <w:uiPriority w:val="99"/>
    <w:semiHidden/>
    <w:unhideWhenUsed/>
    <w:rsid w:val="00A469B7"/>
    <w:rPr>
      <w:sz w:val="16"/>
      <w:szCs w:val="16"/>
    </w:rPr>
  </w:style>
  <w:style w:type="paragraph" w:styleId="CommentText">
    <w:name w:val="annotation text"/>
    <w:basedOn w:val="Normal"/>
    <w:link w:val="CommentTextChar"/>
    <w:uiPriority w:val="99"/>
    <w:unhideWhenUsed/>
    <w:rsid w:val="00A469B7"/>
    <w:rPr>
      <w:sz w:val="20"/>
      <w:szCs w:val="20"/>
    </w:rPr>
  </w:style>
  <w:style w:type="character" w:customStyle="1" w:styleId="CommentTextChar">
    <w:name w:val="Comment Text Char"/>
    <w:basedOn w:val="DefaultParagraphFont"/>
    <w:link w:val="CommentText"/>
    <w:uiPriority w:val="99"/>
    <w:rsid w:val="00A469B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69B7"/>
    <w:rPr>
      <w:b/>
      <w:bCs/>
    </w:rPr>
  </w:style>
  <w:style w:type="character" w:customStyle="1" w:styleId="CommentSubjectChar">
    <w:name w:val="Comment Subject Char"/>
    <w:basedOn w:val="CommentTextChar"/>
    <w:link w:val="CommentSubject"/>
    <w:uiPriority w:val="99"/>
    <w:semiHidden/>
    <w:rsid w:val="00A469B7"/>
    <w:rPr>
      <w:rFonts w:ascii="Arial" w:eastAsia="Arial" w:hAnsi="Arial" w:cs="Arial"/>
      <w:b/>
      <w:bCs/>
      <w:sz w:val="20"/>
      <w:szCs w:val="20"/>
      <w:lang w:val="en-GB" w:eastAsia="en-GB" w:bidi="en-GB"/>
    </w:rPr>
  </w:style>
  <w:style w:type="paragraph" w:customStyle="1" w:styleId="Responseaddress">
    <w:name w:val="Response address"/>
    <w:basedOn w:val="Heading3"/>
    <w:link w:val="ResponseaddressChar"/>
    <w:uiPriority w:val="1"/>
    <w:qFormat/>
    <w:rsid w:val="00CF5EC8"/>
    <w:pPr>
      <w:numPr>
        <w:ilvl w:val="0"/>
        <w:numId w:val="0"/>
      </w:numPr>
      <w:ind w:left="851"/>
      <w:contextualSpacing/>
    </w:pPr>
  </w:style>
  <w:style w:type="character" w:customStyle="1" w:styleId="ResponseaddressChar">
    <w:name w:val="Response address Char"/>
    <w:basedOn w:val="Heading3Char"/>
    <w:link w:val="Responseaddress"/>
    <w:uiPriority w:val="1"/>
    <w:rsid w:val="00CF5EC8"/>
    <w:rPr>
      <w:rFonts w:ascii="Arial" w:eastAsia="Arial" w:hAnsi="Arial" w:cs="Arial"/>
      <w:sz w:val="24"/>
      <w:szCs w:val="24"/>
      <w:lang w:val="en-GB" w:eastAsia="en-GB" w:bidi="en-GB"/>
    </w:rPr>
  </w:style>
  <w:style w:type="paragraph" w:customStyle="1" w:styleId="Style15">
    <w:name w:val="Style15"/>
    <w:basedOn w:val="Normal"/>
    <w:qFormat/>
    <w:rsid w:val="00334095"/>
    <w:pPr>
      <w:widowControl/>
      <w:autoSpaceDE/>
      <w:autoSpaceDN/>
      <w:spacing w:before="120" w:after="120"/>
      <w:ind w:left="2706" w:hanging="720"/>
    </w:pPr>
    <w:rPr>
      <w:rFonts w:eastAsiaTheme="minorHAnsi"/>
      <w:lang w:eastAsia="en-US" w:bidi="ar-SA"/>
    </w:rPr>
  </w:style>
  <w:style w:type="paragraph" w:customStyle="1" w:styleId="Sectionlist">
    <w:name w:val="Section list"/>
    <w:basedOn w:val="Heading3"/>
    <w:link w:val="SectionlistChar"/>
    <w:uiPriority w:val="1"/>
    <w:qFormat/>
    <w:rsid w:val="001F37D8"/>
    <w:pPr>
      <w:numPr>
        <w:ilvl w:val="0"/>
        <w:numId w:val="0"/>
      </w:numPr>
      <w:ind w:left="851"/>
    </w:pPr>
  </w:style>
  <w:style w:type="character" w:customStyle="1" w:styleId="SectionlistChar">
    <w:name w:val="Section list Char"/>
    <w:basedOn w:val="Heading3Char"/>
    <w:link w:val="Sectionlist"/>
    <w:uiPriority w:val="1"/>
    <w:rsid w:val="001F37D8"/>
    <w:rPr>
      <w:rFonts w:ascii="Arial" w:eastAsia="Arial" w:hAnsi="Arial" w:cs="Arial"/>
      <w:sz w:val="24"/>
      <w:szCs w:val="24"/>
      <w:lang w:val="en-GB" w:eastAsia="en-GB" w:bidi="en-GB"/>
    </w:rPr>
  </w:style>
  <w:style w:type="paragraph" w:styleId="FootnoteText">
    <w:name w:val="footnote text"/>
    <w:basedOn w:val="Normal"/>
    <w:link w:val="FootnoteTextChar"/>
    <w:uiPriority w:val="99"/>
    <w:semiHidden/>
    <w:unhideWhenUsed/>
    <w:rsid w:val="007D0E43"/>
    <w:pPr>
      <w:autoSpaceDE/>
      <w:autoSpaceDN/>
    </w:pPr>
    <w:rPr>
      <w:rFonts w:eastAsiaTheme="minorHAnsi"/>
      <w:sz w:val="20"/>
      <w:szCs w:val="20"/>
      <w:lang w:eastAsia="en-US" w:bidi="ar-SA"/>
    </w:rPr>
  </w:style>
  <w:style w:type="character" w:customStyle="1" w:styleId="FootnoteTextChar">
    <w:name w:val="Footnote Text Char"/>
    <w:basedOn w:val="DefaultParagraphFont"/>
    <w:link w:val="FootnoteText"/>
    <w:uiPriority w:val="99"/>
    <w:semiHidden/>
    <w:rsid w:val="007D0E43"/>
    <w:rPr>
      <w:rFonts w:ascii="Arial" w:hAnsi="Arial" w:cs="Arial"/>
      <w:sz w:val="20"/>
      <w:szCs w:val="20"/>
      <w:lang w:val="en-GB"/>
    </w:rPr>
  </w:style>
  <w:style w:type="character" w:styleId="FootnoteReference">
    <w:name w:val="footnote reference"/>
    <w:basedOn w:val="DefaultParagraphFont"/>
    <w:uiPriority w:val="99"/>
    <w:unhideWhenUsed/>
    <w:rsid w:val="007D0E43"/>
    <w:rPr>
      <w:vertAlign w:val="superscript"/>
    </w:rPr>
  </w:style>
  <w:style w:type="table" w:customStyle="1" w:styleId="TableGrid1">
    <w:name w:val="Table Grid1"/>
    <w:basedOn w:val="TableNormal"/>
    <w:next w:val="TableGrid"/>
    <w:uiPriority w:val="59"/>
    <w:rsid w:val="00E066F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15Tableheading">
    <w:name w:val="PC15 Table heading"/>
    <w:basedOn w:val="Heading3"/>
    <w:link w:val="PC15TableheadingChar"/>
    <w:qFormat/>
    <w:rsid w:val="0075710A"/>
    <w:pPr>
      <w:numPr>
        <w:ilvl w:val="0"/>
        <w:numId w:val="0"/>
      </w:numPr>
      <w:tabs>
        <w:tab w:val="left" w:pos="851"/>
      </w:tabs>
      <w:autoSpaceDE/>
      <w:autoSpaceDN/>
      <w:spacing w:before="60" w:after="60" w:line="240" w:lineRule="auto"/>
    </w:pPr>
    <w:rPr>
      <w:rFonts w:eastAsia="Times New Roman"/>
      <w:b/>
      <w:bCs/>
      <w:kern w:val="32"/>
      <w:sz w:val="20"/>
      <w:szCs w:val="20"/>
      <w:lang w:eastAsia="en-US" w:bidi="ar-SA"/>
    </w:rPr>
  </w:style>
  <w:style w:type="character" w:customStyle="1" w:styleId="PC15TableheadingChar">
    <w:name w:val="PC15 Table heading Char"/>
    <w:basedOn w:val="DefaultParagraphFont"/>
    <w:link w:val="PC15Tableheading"/>
    <w:rsid w:val="0075710A"/>
    <w:rPr>
      <w:rFonts w:ascii="Arial" w:eastAsia="Times New Roman" w:hAnsi="Arial" w:cs="Arial"/>
      <w:b/>
      <w:bCs/>
      <w:kern w:val="32"/>
      <w:sz w:val="20"/>
      <w:szCs w:val="20"/>
      <w:lang w:val="en-GB"/>
    </w:rPr>
  </w:style>
  <w:style w:type="character" w:styleId="BookTitle">
    <w:name w:val="Book Title"/>
    <w:basedOn w:val="DefaultParagraphFont"/>
    <w:uiPriority w:val="33"/>
    <w:qFormat/>
    <w:rsid w:val="004A6275"/>
    <w:rPr>
      <w:b/>
      <w:bCs/>
      <w:i/>
      <w:iCs/>
      <w:spacing w:val="5"/>
    </w:rPr>
  </w:style>
  <w:style w:type="table" w:customStyle="1" w:styleId="TableGrid31">
    <w:name w:val="Table Grid31"/>
    <w:basedOn w:val="TableNormal"/>
    <w:next w:val="TableGrid"/>
    <w:uiPriority w:val="39"/>
    <w:rsid w:val="007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57A0"/>
    <w:rPr>
      <w:b/>
      <w:bCs/>
    </w:rPr>
  </w:style>
  <w:style w:type="table" w:customStyle="1" w:styleId="TableGrid2">
    <w:name w:val="Table Grid2"/>
    <w:basedOn w:val="TableNormal"/>
    <w:next w:val="TableGrid"/>
    <w:uiPriority w:val="39"/>
    <w:rsid w:val="0013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15Tablecontent">
    <w:name w:val="PC15 Table content"/>
    <w:basedOn w:val="Heading3"/>
    <w:link w:val="PC15TablecontentChar"/>
    <w:qFormat/>
    <w:rsid w:val="00B3399B"/>
    <w:pPr>
      <w:numPr>
        <w:ilvl w:val="0"/>
        <w:numId w:val="0"/>
      </w:numPr>
      <w:tabs>
        <w:tab w:val="left" w:pos="851"/>
      </w:tabs>
      <w:autoSpaceDE/>
      <w:autoSpaceDN/>
      <w:spacing w:before="60" w:after="60" w:line="240" w:lineRule="auto"/>
    </w:pPr>
    <w:rPr>
      <w:rFonts w:eastAsia="Times New Roman"/>
      <w:bCs/>
      <w:kern w:val="32"/>
      <w:sz w:val="20"/>
      <w:szCs w:val="20"/>
    </w:rPr>
  </w:style>
  <w:style w:type="character" w:customStyle="1" w:styleId="PC15TablecontentChar">
    <w:name w:val="PC15 Table content Char"/>
    <w:basedOn w:val="Heading3Char"/>
    <w:link w:val="PC15Tablecontent"/>
    <w:rsid w:val="00B3399B"/>
    <w:rPr>
      <w:rFonts w:ascii="Arial" w:eastAsia="Times New Roman" w:hAnsi="Arial" w:cs="Arial"/>
      <w:bCs/>
      <w:kern w:val="32"/>
      <w:sz w:val="20"/>
      <w:szCs w:val="20"/>
      <w:lang w:val="en-GB" w:eastAsia="en-GB" w:bidi="en-GB"/>
    </w:rPr>
  </w:style>
  <w:style w:type="paragraph" w:styleId="Revision">
    <w:name w:val="Revision"/>
    <w:hidden/>
    <w:uiPriority w:val="99"/>
    <w:semiHidden/>
    <w:rsid w:val="0049208E"/>
    <w:pPr>
      <w:widowControl/>
      <w:autoSpaceDE/>
      <w:autoSpaceDN/>
    </w:pPr>
    <w:rPr>
      <w:rFonts w:ascii="Arial" w:eastAsia="Arial" w:hAnsi="Arial" w:cs="Arial"/>
      <w:lang w:val="en-GB" w:eastAsia="en-GB" w:bidi="en-GB"/>
    </w:rPr>
  </w:style>
  <w:style w:type="table" w:customStyle="1" w:styleId="TableGrid0">
    <w:name w:val="TableGrid"/>
    <w:rsid w:val="00957765"/>
    <w:pPr>
      <w:widowControl/>
      <w:autoSpaceDE/>
      <w:autoSpaceDN/>
    </w:pPr>
    <w:rPr>
      <w:rFonts w:eastAsiaTheme="minorEastAsia"/>
      <w:lang w:val="en-GB"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BB3F18"/>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DDfreeparagraphtextwithoutnumbering">
    <w:name w:val="DD free paragraph text without numbering"/>
    <w:basedOn w:val="Heading3"/>
    <w:link w:val="DDfreeparagraphtextwithoutnumberingChar"/>
    <w:qFormat/>
    <w:rsid w:val="00BB3F18"/>
    <w:pPr>
      <w:numPr>
        <w:ilvl w:val="0"/>
        <w:numId w:val="0"/>
      </w:numPr>
      <w:tabs>
        <w:tab w:val="left" w:pos="709"/>
      </w:tabs>
      <w:autoSpaceDE/>
      <w:autoSpaceDN/>
      <w:spacing w:line="240" w:lineRule="auto"/>
    </w:pPr>
    <w:rPr>
      <w:rFonts w:eastAsia="Times New Roman"/>
      <w:bCs/>
      <w:kern w:val="32"/>
    </w:rPr>
  </w:style>
  <w:style w:type="character" w:customStyle="1" w:styleId="DDfreeparagraphtextwithoutnumberingChar">
    <w:name w:val="DD free paragraph text without numbering Char"/>
    <w:basedOn w:val="Heading3Char"/>
    <w:link w:val="DDfreeparagraphtextwithoutnumbering"/>
    <w:rsid w:val="00BB3F18"/>
    <w:rPr>
      <w:rFonts w:ascii="Arial" w:eastAsia="Times New Roman" w:hAnsi="Arial" w:cs="Arial"/>
      <w:bCs/>
      <w:kern w:val="32"/>
      <w:sz w:val="24"/>
      <w:szCs w:val="24"/>
      <w:lang w:val="en-GB" w:eastAsia="en-GB" w:bidi="en-GB"/>
    </w:rPr>
  </w:style>
  <w:style w:type="paragraph" w:customStyle="1" w:styleId="3rdlevelsub-heading">
    <w:name w:val="3rd level sub-heading"/>
    <w:basedOn w:val="Heading2"/>
    <w:link w:val="3rdlevelsub-headingChar"/>
    <w:uiPriority w:val="1"/>
    <w:qFormat/>
    <w:rsid w:val="007E4617"/>
    <w:pPr>
      <w:numPr>
        <w:ilvl w:val="0"/>
        <w:numId w:val="0"/>
      </w:numPr>
      <w:ind w:left="851"/>
    </w:pPr>
    <w:rPr>
      <w:i/>
      <w:color w:val="404040" w:themeColor="text1" w:themeTint="BF"/>
      <w:sz w:val="26"/>
      <w:szCs w:val="26"/>
    </w:rPr>
  </w:style>
  <w:style w:type="character" w:customStyle="1" w:styleId="3rdlevelsub-headingChar">
    <w:name w:val="3rd level sub-heading Char"/>
    <w:basedOn w:val="Heading2Char"/>
    <w:link w:val="3rdlevelsub-heading"/>
    <w:uiPriority w:val="1"/>
    <w:rsid w:val="007E4617"/>
    <w:rPr>
      <w:rFonts w:ascii="Arial" w:eastAsia="Arial" w:hAnsi="Arial" w:cs="Arial"/>
      <w:b/>
      <w:i/>
      <w:color w:val="404040" w:themeColor="text1" w:themeTint="BF"/>
      <w:sz w:val="26"/>
      <w:szCs w:val="26"/>
      <w:lang w:val="en-GB" w:eastAsia="en-GB" w:bidi="en-GB"/>
    </w:rPr>
  </w:style>
  <w:style w:type="character" w:styleId="FollowedHyperlink">
    <w:name w:val="FollowedHyperlink"/>
    <w:basedOn w:val="DefaultParagraphFont"/>
    <w:uiPriority w:val="99"/>
    <w:semiHidden/>
    <w:unhideWhenUsed/>
    <w:rsid w:val="004F4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336">
      <w:bodyDiv w:val="1"/>
      <w:marLeft w:val="0"/>
      <w:marRight w:val="0"/>
      <w:marTop w:val="0"/>
      <w:marBottom w:val="0"/>
      <w:divBdr>
        <w:top w:val="none" w:sz="0" w:space="0" w:color="auto"/>
        <w:left w:val="none" w:sz="0" w:space="0" w:color="auto"/>
        <w:bottom w:val="none" w:sz="0" w:space="0" w:color="auto"/>
        <w:right w:val="none" w:sz="0" w:space="0" w:color="auto"/>
      </w:divBdr>
    </w:div>
    <w:div w:id="52654824">
      <w:bodyDiv w:val="1"/>
      <w:marLeft w:val="0"/>
      <w:marRight w:val="0"/>
      <w:marTop w:val="0"/>
      <w:marBottom w:val="0"/>
      <w:divBdr>
        <w:top w:val="none" w:sz="0" w:space="0" w:color="auto"/>
        <w:left w:val="none" w:sz="0" w:space="0" w:color="auto"/>
        <w:bottom w:val="none" w:sz="0" w:space="0" w:color="auto"/>
        <w:right w:val="none" w:sz="0" w:space="0" w:color="auto"/>
      </w:divBdr>
    </w:div>
    <w:div w:id="169177528">
      <w:bodyDiv w:val="1"/>
      <w:marLeft w:val="0"/>
      <w:marRight w:val="0"/>
      <w:marTop w:val="0"/>
      <w:marBottom w:val="0"/>
      <w:divBdr>
        <w:top w:val="none" w:sz="0" w:space="0" w:color="auto"/>
        <w:left w:val="none" w:sz="0" w:space="0" w:color="auto"/>
        <w:bottom w:val="none" w:sz="0" w:space="0" w:color="auto"/>
        <w:right w:val="none" w:sz="0" w:space="0" w:color="auto"/>
      </w:divBdr>
    </w:div>
    <w:div w:id="325784056">
      <w:bodyDiv w:val="1"/>
      <w:marLeft w:val="0"/>
      <w:marRight w:val="0"/>
      <w:marTop w:val="0"/>
      <w:marBottom w:val="0"/>
      <w:divBdr>
        <w:top w:val="none" w:sz="0" w:space="0" w:color="auto"/>
        <w:left w:val="none" w:sz="0" w:space="0" w:color="auto"/>
        <w:bottom w:val="none" w:sz="0" w:space="0" w:color="auto"/>
        <w:right w:val="none" w:sz="0" w:space="0" w:color="auto"/>
      </w:divBdr>
    </w:div>
    <w:div w:id="367804438">
      <w:bodyDiv w:val="1"/>
      <w:marLeft w:val="0"/>
      <w:marRight w:val="0"/>
      <w:marTop w:val="0"/>
      <w:marBottom w:val="0"/>
      <w:divBdr>
        <w:top w:val="none" w:sz="0" w:space="0" w:color="auto"/>
        <w:left w:val="none" w:sz="0" w:space="0" w:color="auto"/>
        <w:bottom w:val="none" w:sz="0" w:space="0" w:color="auto"/>
        <w:right w:val="none" w:sz="0" w:space="0" w:color="auto"/>
      </w:divBdr>
    </w:div>
    <w:div w:id="1058744404">
      <w:bodyDiv w:val="1"/>
      <w:marLeft w:val="0"/>
      <w:marRight w:val="0"/>
      <w:marTop w:val="0"/>
      <w:marBottom w:val="0"/>
      <w:divBdr>
        <w:top w:val="none" w:sz="0" w:space="0" w:color="auto"/>
        <w:left w:val="none" w:sz="0" w:space="0" w:color="auto"/>
        <w:bottom w:val="none" w:sz="0" w:space="0" w:color="auto"/>
        <w:right w:val="none" w:sz="0" w:space="0" w:color="auto"/>
      </w:divBdr>
    </w:div>
    <w:div w:id="1064135772">
      <w:bodyDiv w:val="1"/>
      <w:marLeft w:val="0"/>
      <w:marRight w:val="0"/>
      <w:marTop w:val="0"/>
      <w:marBottom w:val="0"/>
      <w:divBdr>
        <w:top w:val="none" w:sz="0" w:space="0" w:color="auto"/>
        <w:left w:val="none" w:sz="0" w:space="0" w:color="auto"/>
        <w:bottom w:val="none" w:sz="0" w:space="0" w:color="auto"/>
        <w:right w:val="none" w:sz="0" w:space="0" w:color="auto"/>
      </w:divBdr>
    </w:div>
    <w:div w:id="1134064254">
      <w:bodyDiv w:val="1"/>
      <w:marLeft w:val="0"/>
      <w:marRight w:val="0"/>
      <w:marTop w:val="0"/>
      <w:marBottom w:val="0"/>
      <w:divBdr>
        <w:top w:val="none" w:sz="0" w:space="0" w:color="auto"/>
        <w:left w:val="none" w:sz="0" w:space="0" w:color="auto"/>
        <w:bottom w:val="none" w:sz="0" w:space="0" w:color="auto"/>
        <w:right w:val="none" w:sz="0" w:space="0" w:color="auto"/>
      </w:divBdr>
    </w:div>
    <w:div w:id="1340696873">
      <w:bodyDiv w:val="1"/>
      <w:marLeft w:val="0"/>
      <w:marRight w:val="0"/>
      <w:marTop w:val="0"/>
      <w:marBottom w:val="0"/>
      <w:divBdr>
        <w:top w:val="none" w:sz="0" w:space="0" w:color="auto"/>
        <w:left w:val="none" w:sz="0" w:space="0" w:color="auto"/>
        <w:bottom w:val="none" w:sz="0" w:space="0" w:color="auto"/>
        <w:right w:val="none" w:sz="0" w:space="0" w:color="auto"/>
      </w:divBdr>
    </w:div>
    <w:div w:id="1632394650">
      <w:bodyDiv w:val="1"/>
      <w:marLeft w:val="0"/>
      <w:marRight w:val="0"/>
      <w:marTop w:val="0"/>
      <w:marBottom w:val="0"/>
      <w:divBdr>
        <w:top w:val="none" w:sz="0" w:space="0" w:color="auto"/>
        <w:left w:val="none" w:sz="0" w:space="0" w:color="auto"/>
        <w:bottom w:val="none" w:sz="0" w:space="0" w:color="auto"/>
        <w:right w:val="none" w:sz="0" w:space="0" w:color="auto"/>
      </w:divBdr>
    </w:div>
    <w:div w:id="1778721121">
      <w:bodyDiv w:val="1"/>
      <w:marLeft w:val="0"/>
      <w:marRight w:val="0"/>
      <w:marTop w:val="0"/>
      <w:marBottom w:val="0"/>
      <w:divBdr>
        <w:top w:val="none" w:sz="0" w:space="0" w:color="auto"/>
        <w:left w:val="none" w:sz="0" w:space="0" w:color="auto"/>
        <w:bottom w:val="none" w:sz="0" w:space="0" w:color="auto"/>
        <w:right w:val="none" w:sz="0" w:space="0" w:color="auto"/>
      </w:divBdr>
    </w:div>
    <w:div w:id="179683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3D14-6ECD-4873-884C-BFB73684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Harland</dc:creator>
  <cp:keywords/>
  <dc:description/>
  <cp:lastModifiedBy>Irwin, Greg</cp:lastModifiedBy>
  <cp:revision>3</cp:revision>
  <cp:lastPrinted>2021-05-13T16:57:00Z</cp:lastPrinted>
  <dcterms:created xsi:type="dcterms:W3CDTF">2021-05-17T06:45:00Z</dcterms:created>
  <dcterms:modified xsi:type="dcterms:W3CDTF">2021-05-17T07:08:00Z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Adobe InDesign CC 13.0 (Macintosh)</vt:lpwstr>
  </property>
  <property fmtid="{D5CDD505-2E9C-101B-9397-08002B2CF9AE}" pid="4" name="LastSaved">
    <vt:filetime>2018-01-17T00:00:00Z</vt:filetime>
  </property>
</Properties>
</file>