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AB" w:rsidRPr="00660786" w:rsidRDefault="00660786" w:rsidP="00122FAB">
      <w:pPr>
        <w:rPr>
          <w:rFonts w:ascii="Calibri" w:hAnsi="Calibri" w:cs="Calibri"/>
          <w:b/>
          <w:sz w:val="22"/>
        </w:rPr>
      </w:pPr>
      <w:r w:rsidRPr="00660786">
        <w:rPr>
          <w:rFonts w:ascii="Calibri" w:hAnsi="Calibri" w:cs="Calibri"/>
          <w:b/>
          <w:sz w:val="22"/>
        </w:rPr>
        <w:t>Schedule 6</w:t>
      </w:r>
    </w:p>
    <w:p w:rsidR="004A47BD" w:rsidRDefault="00660786" w:rsidP="00692450">
      <w:pPr>
        <w:jc w:val="center"/>
        <w:rPr>
          <w:rFonts w:ascii="Arial" w:hAnsi="Arial" w:cs="Arial"/>
          <w:b/>
        </w:rPr>
      </w:pPr>
      <w:r>
        <w:rPr>
          <w:rFonts w:ascii="Arial" w:hAnsi="Arial" w:cs="Arial"/>
          <w:b/>
        </w:rPr>
        <w:t>SMP Objection Code for</w:t>
      </w:r>
      <w:r w:rsidR="00394AD1" w:rsidRPr="00692450">
        <w:rPr>
          <w:rFonts w:ascii="Arial" w:hAnsi="Arial" w:cs="Arial"/>
          <w:b/>
        </w:rPr>
        <w:t xml:space="preserve"> Domestic Consumers</w:t>
      </w:r>
    </w:p>
    <w:p w:rsidR="00692450" w:rsidRPr="00692450" w:rsidRDefault="00692450" w:rsidP="00692450">
      <w:pPr>
        <w:spacing w:after="0"/>
        <w:jc w:val="center"/>
        <w:rPr>
          <w:rFonts w:ascii="Arial" w:hAnsi="Arial" w:cs="Arial"/>
          <w:b/>
        </w:rPr>
      </w:pPr>
    </w:p>
    <w:p w:rsidR="00394AD1" w:rsidRDefault="0038584F" w:rsidP="0038584F">
      <w:pPr>
        <w:jc w:val="center"/>
        <w:rPr>
          <w:rFonts w:ascii="Arial" w:hAnsi="Arial" w:cs="Arial"/>
          <w:b/>
        </w:rPr>
      </w:pPr>
      <w:r w:rsidRPr="0038584F">
        <w:rPr>
          <w:rFonts w:ascii="Arial" w:hAnsi="Arial" w:cs="Arial"/>
          <w:b/>
        </w:rPr>
        <w:t>22 September 2016</w:t>
      </w:r>
    </w:p>
    <w:p w:rsidR="0038584F" w:rsidRPr="0038584F" w:rsidRDefault="0038584F" w:rsidP="0038584F">
      <w:pPr>
        <w:jc w:val="center"/>
        <w:rPr>
          <w:rFonts w:ascii="Arial" w:hAnsi="Arial" w:cs="Arial"/>
          <w:b/>
        </w:rPr>
      </w:pPr>
    </w:p>
    <w:p w:rsidR="00394AD1" w:rsidRDefault="00394AD1" w:rsidP="00145954">
      <w:pPr>
        <w:spacing w:after="240" w:line="276" w:lineRule="auto"/>
        <w:rPr>
          <w:rFonts w:ascii="Arial" w:hAnsi="Arial" w:cs="Arial"/>
        </w:rPr>
      </w:pPr>
      <w:r w:rsidRPr="00692450">
        <w:rPr>
          <w:rFonts w:ascii="Arial" w:hAnsi="Arial" w:cs="Arial"/>
        </w:rPr>
        <w:t>The Existing Registered User shall not be permitted to prevent the transfer of any domestic customer to a Proposing User, other than in the following circumstances:</w:t>
      </w:r>
    </w:p>
    <w:p w:rsidR="00394AD1" w:rsidRDefault="00394AD1" w:rsidP="00145954">
      <w:pPr>
        <w:pStyle w:val="ListParagraph"/>
        <w:numPr>
          <w:ilvl w:val="0"/>
          <w:numId w:val="1"/>
        </w:numPr>
        <w:spacing w:after="280" w:line="276" w:lineRule="auto"/>
        <w:rPr>
          <w:rFonts w:ascii="Arial" w:hAnsi="Arial" w:cs="Arial"/>
        </w:rPr>
      </w:pPr>
      <w:r w:rsidRPr="00692450">
        <w:rPr>
          <w:rFonts w:ascii="Arial" w:hAnsi="Arial" w:cs="Arial"/>
        </w:rPr>
        <w:t>The Proposing User has agreed with the Existing Registered User that the SMP Confirmation has been initiated in error;</w:t>
      </w:r>
    </w:p>
    <w:p w:rsidR="00B54E9C" w:rsidRDefault="00B54E9C" w:rsidP="00145954">
      <w:pPr>
        <w:pStyle w:val="ListParagraph"/>
        <w:spacing w:after="280" w:line="276" w:lineRule="auto"/>
        <w:rPr>
          <w:rFonts w:ascii="Arial" w:hAnsi="Arial" w:cs="Arial"/>
        </w:rPr>
      </w:pPr>
    </w:p>
    <w:p w:rsidR="00B54E9C" w:rsidRDefault="00B54E9C" w:rsidP="00145954">
      <w:pPr>
        <w:pStyle w:val="ListParagraph"/>
        <w:numPr>
          <w:ilvl w:val="0"/>
          <w:numId w:val="1"/>
        </w:numPr>
        <w:spacing w:after="280" w:line="276" w:lineRule="auto"/>
        <w:rPr>
          <w:rFonts w:ascii="Arial" w:hAnsi="Arial" w:cs="Arial"/>
        </w:rPr>
      </w:pPr>
      <w:r>
        <w:rPr>
          <w:rFonts w:ascii="Arial" w:hAnsi="Arial" w:cs="Arial"/>
        </w:rPr>
        <w:t>The customer states not to have entered into a contrac</w:t>
      </w:r>
      <w:r w:rsidR="00145954">
        <w:rPr>
          <w:rFonts w:ascii="Arial" w:hAnsi="Arial" w:cs="Arial"/>
        </w:rPr>
        <w:t>t</w:t>
      </w:r>
      <w:r w:rsidR="00145954">
        <w:rPr>
          <w:rStyle w:val="FootnoteReference"/>
          <w:rFonts w:ascii="Arial" w:hAnsi="Arial" w:cs="Arial"/>
        </w:rPr>
        <w:footnoteReference w:id="1"/>
      </w:r>
      <w:r>
        <w:rPr>
          <w:rFonts w:ascii="Arial" w:hAnsi="Arial" w:cs="Arial"/>
        </w:rPr>
        <w:t xml:space="preserve"> with the Proposing User and has requested the Existing Registered User not to proceed with a supply transfer;</w:t>
      </w:r>
    </w:p>
    <w:p w:rsidR="00692450" w:rsidRPr="00692450" w:rsidRDefault="00692450" w:rsidP="00145954">
      <w:pPr>
        <w:pStyle w:val="ListParagraph"/>
        <w:spacing w:after="280" w:line="276" w:lineRule="auto"/>
        <w:rPr>
          <w:rFonts w:ascii="Arial" w:hAnsi="Arial" w:cs="Arial"/>
        </w:rPr>
      </w:pPr>
    </w:p>
    <w:p w:rsidR="008F0D7F" w:rsidRDefault="00394AD1" w:rsidP="00145954">
      <w:pPr>
        <w:pStyle w:val="ListParagraph"/>
        <w:numPr>
          <w:ilvl w:val="0"/>
          <w:numId w:val="1"/>
        </w:numPr>
        <w:spacing w:after="280" w:line="276" w:lineRule="auto"/>
        <w:rPr>
          <w:rFonts w:ascii="Arial" w:hAnsi="Arial" w:cs="Arial"/>
        </w:rPr>
      </w:pPr>
      <w:r w:rsidRPr="00692450">
        <w:rPr>
          <w:rFonts w:ascii="Arial" w:hAnsi="Arial" w:cs="Arial"/>
        </w:rPr>
        <w:t>The customer is bound by the provisions of a gas supply with the Existing Registered User and this contract will neither expire nor terminate on or before the Supply Meter Point Registration Date</w:t>
      </w:r>
      <w:r w:rsidR="00145954">
        <w:rPr>
          <w:rStyle w:val="FootnoteReference"/>
          <w:rFonts w:ascii="Arial" w:hAnsi="Arial" w:cs="Arial"/>
        </w:rPr>
        <w:footnoteReference w:id="2"/>
      </w:r>
      <w:r w:rsidR="00980470">
        <w:rPr>
          <w:rFonts w:ascii="Arial" w:hAnsi="Arial" w:cs="Arial"/>
        </w:rPr>
        <w:t>;</w:t>
      </w:r>
    </w:p>
    <w:p w:rsidR="00692450" w:rsidRPr="00692450" w:rsidRDefault="00692450" w:rsidP="00145954">
      <w:pPr>
        <w:pStyle w:val="ListParagraph"/>
        <w:spacing w:after="280" w:line="276" w:lineRule="auto"/>
        <w:rPr>
          <w:rFonts w:ascii="Arial" w:hAnsi="Arial" w:cs="Arial"/>
        </w:rPr>
      </w:pPr>
    </w:p>
    <w:p w:rsidR="00394AD1" w:rsidRPr="00145954" w:rsidRDefault="00394AD1" w:rsidP="00145954">
      <w:pPr>
        <w:pStyle w:val="ListParagraph"/>
        <w:numPr>
          <w:ilvl w:val="0"/>
          <w:numId w:val="1"/>
        </w:numPr>
        <w:spacing w:after="280" w:line="276" w:lineRule="auto"/>
        <w:rPr>
          <w:rFonts w:ascii="Arial" w:hAnsi="Arial" w:cs="Arial"/>
          <w:szCs w:val="20"/>
        </w:rPr>
      </w:pPr>
      <w:r w:rsidRPr="00145954">
        <w:rPr>
          <w:rFonts w:ascii="Arial" w:hAnsi="Arial" w:cs="Arial"/>
          <w:szCs w:val="20"/>
        </w:rPr>
        <w:t>The Existing Registered User has evidence which supports the reasonable suspicion that meter tampering or fraud in respect of the supply of natural gas has occurred at the property;</w:t>
      </w:r>
    </w:p>
    <w:p w:rsidR="00B54E9C" w:rsidRPr="00145954" w:rsidRDefault="00B54E9C" w:rsidP="00145954">
      <w:pPr>
        <w:pStyle w:val="ListParagraph"/>
        <w:spacing w:after="280" w:line="276" w:lineRule="auto"/>
        <w:rPr>
          <w:rFonts w:ascii="Arial" w:hAnsi="Arial" w:cs="Arial"/>
          <w:szCs w:val="20"/>
        </w:rPr>
      </w:pPr>
    </w:p>
    <w:p w:rsidR="00B54E9C" w:rsidRPr="00145954" w:rsidRDefault="00B54E9C" w:rsidP="00145954">
      <w:pPr>
        <w:pStyle w:val="ListParagraph"/>
        <w:numPr>
          <w:ilvl w:val="0"/>
          <w:numId w:val="1"/>
        </w:numPr>
        <w:spacing w:after="280" w:line="276" w:lineRule="auto"/>
        <w:rPr>
          <w:rFonts w:ascii="Arial" w:hAnsi="Arial" w:cs="Arial"/>
          <w:szCs w:val="20"/>
        </w:rPr>
      </w:pPr>
      <w:r w:rsidRPr="00145954">
        <w:rPr>
          <w:rFonts w:ascii="Arial" w:hAnsi="Arial" w:cs="Arial"/>
          <w:szCs w:val="20"/>
        </w:rPr>
        <w:t>The property has been disconnected at the request of the Existing Registered User;</w:t>
      </w:r>
    </w:p>
    <w:p w:rsidR="00692450" w:rsidRPr="00145954" w:rsidRDefault="00692450" w:rsidP="00145954">
      <w:pPr>
        <w:pStyle w:val="ListParagraph"/>
        <w:spacing w:after="280" w:line="276" w:lineRule="auto"/>
        <w:rPr>
          <w:rFonts w:ascii="Arial" w:hAnsi="Arial" w:cs="Arial"/>
          <w:szCs w:val="20"/>
        </w:rPr>
      </w:pPr>
    </w:p>
    <w:p w:rsidR="00394AD1" w:rsidRPr="00145954" w:rsidRDefault="00394AD1" w:rsidP="00145954">
      <w:pPr>
        <w:pStyle w:val="ListParagraph"/>
        <w:numPr>
          <w:ilvl w:val="0"/>
          <w:numId w:val="1"/>
        </w:numPr>
        <w:spacing w:after="280" w:line="276" w:lineRule="auto"/>
        <w:rPr>
          <w:rFonts w:ascii="Arial" w:hAnsi="Arial" w:cs="Arial"/>
          <w:szCs w:val="20"/>
        </w:rPr>
      </w:pPr>
      <w:r w:rsidRPr="00145954">
        <w:rPr>
          <w:rFonts w:ascii="Arial" w:hAnsi="Arial" w:cs="Arial"/>
          <w:szCs w:val="20"/>
        </w:rPr>
        <w:t>The meter serial number or module number the Existing Registered User has recorded for the property does not agree with the meter serial number or module number as advised by the Network Operator</w:t>
      </w:r>
      <w:r w:rsidR="00C227D6" w:rsidRPr="00145954">
        <w:rPr>
          <w:rFonts w:ascii="Arial" w:hAnsi="Arial" w:cs="Arial"/>
          <w:szCs w:val="20"/>
        </w:rPr>
        <w:t>;</w:t>
      </w:r>
      <w:r w:rsidRPr="00145954">
        <w:rPr>
          <w:rFonts w:ascii="Arial" w:hAnsi="Arial" w:cs="Arial"/>
          <w:szCs w:val="20"/>
        </w:rPr>
        <w:t xml:space="preserve"> </w:t>
      </w:r>
    </w:p>
    <w:p w:rsidR="00C227D6" w:rsidRPr="00145954" w:rsidRDefault="00C227D6" w:rsidP="00145954">
      <w:pPr>
        <w:pStyle w:val="ListParagraph"/>
        <w:spacing w:after="280" w:line="276" w:lineRule="auto"/>
        <w:rPr>
          <w:rFonts w:ascii="Arial" w:hAnsi="Arial" w:cs="Arial"/>
          <w:szCs w:val="20"/>
        </w:rPr>
      </w:pPr>
    </w:p>
    <w:p w:rsidR="00145954" w:rsidRPr="00145954" w:rsidRDefault="00145954" w:rsidP="00145954">
      <w:pPr>
        <w:pStyle w:val="ListParagraph"/>
        <w:numPr>
          <w:ilvl w:val="0"/>
          <w:numId w:val="1"/>
        </w:numPr>
        <w:spacing w:after="80" w:line="276" w:lineRule="auto"/>
        <w:contextualSpacing w:val="0"/>
        <w:rPr>
          <w:rFonts w:ascii="Arial" w:hAnsi="Arial" w:cs="Arial"/>
          <w:szCs w:val="20"/>
        </w:rPr>
      </w:pPr>
      <w:r w:rsidRPr="00145954">
        <w:rPr>
          <w:rFonts w:ascii="Arial" w:hAnsi="Arial" w:cs="Arial"/>
          <w:szCs w:val="20"/>
        </w:rPr>
        <w:t xml:space="preserve"> the customer was involved in a Supplier of Last Resort (SoLR) event</w:t>
      </w:r>
      <w:r w:rsidRPr="00145954">
        <w:rPr>
          <w:rStyle w:val="FootnoteReference"/>
          <w:rFonts w:ascii="Arial" w:hAnsi="Arial" w:cs="Arial"/>
          <w:szCs w:val="20"/>
        </w:rPr>
        <w:footnoteReference w:id="3"/>
      </w:r>
      <w:r w:rsidRPr="00145954">
        <w:rPr>
          <w:rFonts w:ascii="Arial" w:hAnsi="Arial" w:cs="Arial"/>
          <w:szCs w:val="20"/>
        </w:rPr>
        <w:t xml:space="preserve"> and the </w:t>
      </w:r>
      <w:r w:rsidR="00D70D97">
        <w:rPr>
          <w:rFonts w:ascii="Arial" w:hAnsi="Arial" w:cs="Arial"/>
          <w:szCs w:val="20"/>
        </w:rPr>
        <w:t>Existing Registered</w:t>
      </w:r>
      <w:r w:rsidRPr="00145954">
        <w:rPr>
          <w:rFonts w:ascii="Arial" w:hAnsi="Arial" w:cs="Arial"/>
          <w:szCs w:val="20"/>
        </w:rPr>
        <w:t xml:space="preserve"> User is the SoLR Supplier.  Where this is the case, the SoLR Supplier will only be permitted to object to the transfer of the customer if:</w:t>
      </w:r>
    </w:p>
    <w:p w:rsidR="00145954" w:rsidRPr="00145954" w:rsidRDefault="00145954" w:rsidP="00145954">
      <w:pPr>
        <w:pStyle w:val="ListParagraph"/>
        <w:numPr>
          <w:ilvl w:val="0"/>
          <w:numId w:val="3"/>
        </w:numPr>
        <w:spacing w:after="80" w:line="276" w:lineRule="auto"/>
        <w:ind w:left="1701" w:hanging="425"/>
        <w:contextualSpacing w:val="0"/>
        <w:jc w:val="both"/>
        <w:rPr>
          <w:rFonts w:ascii="Arial" w:hAnsi="Arial" w:cs="Arial"/>
          <w:szCs w:val="20"/>
        </w:rPr>
      </w:pPr>
      <w:r w:rsidRPr="00145954">
        <w:rPr>
          <w:rFonts w:ascii="Arial" w:hAnsi="Arial" w:cs="Arial"/>
          <w:szCs w:val="20"/>
        </w:rPr>
        <w:t>the customer was transferred to the SoLR Supplier as a result of the direction under the Gas (Supplier of Last Resort) Regulations 2009; and</w:t>
      </w:r>
    </w:p>
    <w:p w:rsidR="00D70D97" w:rsidRDefault="00145954" w:rsidP="00145954">
      <w:pPr>
        <w:pStyle w:val="ListParagraph"/>
        <w:numPr>
          <w:ilvl w:val="0"/>
          <w:numId w:val="3"/>
        </w:numPr>
        <w:spacing w:after="80" w:line="276" w:lineRule="auto"/>
        <w:ind w:left="1701" w:hanging="425"/>
        <w:contextualSpacing w:val="0"/>
        <w:jc w:val="both"/>
        <w:rPr>
          <w:rFonts w:ascii="Arial" w:hAnsi="Arial" w:cs="Arial"/>
          <w:szCs w:val="20"/>
        </w:rPr>
      </w:pPr>
      <w:r w:rsidRPr="00145954">
        <w:rPr>
          <w:rFonts w:ascii="Arial" w:hAnsi="Arial" w:cs="Arial"/>
          <w:szCs w:val="20"/>
        </w:rPr>
        <w:t>the SMP Confirmation date is within 90 days of the SoLR event being initiated</w:t>
      </w:r>
      <w:r w:rsidR="00D70D97">
        <w:rPr>
          <w:rFonts w:ascii="Arial" w:hAnsi="Arial" w:cs="Arial"/>
          <w:szCs w:val="20"/>
        </w:rPr>
        <w:t>; and</w:t>
      </w:r>
    </w:p>
    <w:p w:rsidR="00145954" w:rsidRPr="00145954" w:rsidRDefault="00D70D97" w:rsidP="00145954">
      <w:pPr>
        <w:pStyle w:val="ListParagraph"/>
        <w:numPr>
          <w:ilvl w:val="0"/>
          <w:numId w:val="3"/>
        </w:numPr>
        <w:spacing w:after="80" w:line="276" w:lineRule="auto"/>
        <w:ind w:left="1701" w:hanging="425"/>
        <w:contextualSpacing w:val="0"/>
        <w:jc w:val="both"/>
        <w:rPr>
          <w:rFonts w:ascii="Arial" w:hAnsi="Arial" w:cs="Arial"/>
          <w:szCs w:val="20"/>
        </w:rPr>
      </w:pPr>
      <w:r>
        <w:rPr>
          <w:rFonts w:ascii="Arial" w:hAnsi="Arial" w:cs="Arial"/>
          <w:sz w:val="22"/>
        </w:rPr>
        <w:t>the SMP Confirmation was not in progress when the Existing Registered User was appointed the SoLR Supplier</w:t>
      </w:r>
      <w:r w:rsidR="00145954" w:rsidRPr="00145954">
        <w:rPr>
          <w:rFonts w:ascii="Arial" w:hAnsi="Arial" w:cs="Arial"/>
          <w:szCs w:val="20"/>
        </w:rPr>
        <w:t xml:space="preserve">. </w:t>
      </w:r>
    </w:p>
    <w:p w:rsidR="00980470" w:rsidRPr="00980470" w:rsidRDefault="00145954" w:rsidP="00145954">
      <w:pPr>
        <w:pStyle w:val="ListParagraph"/>
        <w:spacing w:after="240" w:line="276" w:lineRule="auto"/>
        <w:rPr>
          <w:rFonts w:ascii="Arial" w:hAnsi="Arial" w:cs="Arial"/>
          <w:sz w:val="16"/>
          <w:szCs w:val="16"/>
        </w:rPr>
      </w:pPr>
      <w:r w:rsidRPr="00145954">
        <w:rPr>
          <w:rFonts w:ascii="Arial" w:hAnsi="Arial" w:cs="Arial"/>
          <w:szCs w:val="20"/>
        </w:rPr>
        <w:t>The SoLR Supplier must refer to the Retail Market Procedure for Supplier of Last Resort Events in the Northern Ireland Gas Industry for further detail.</w:t>
      </w:r>
    </w:p>
    <w:sectPr w:rsidR="00980470" w:rsidRPr="00980470" w:rsidSect="004A47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9AE" w:rsidRDefault="009779AE" w:rsidP="000707DC">
      <w:pPr>
        <w:spacing w:after="0"/>
      </w:pPr>
      <w:r>
        <w:separator/>
      </w:r>
    </w:p>
  </w:endnote>
  <w:endnote w:type="continuationSeparator" w:id="0">
    <w:p w:rsidR="009779AE" w:rsidRDefault="009779AE" w:rsidP="000707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62" w:rsidRDefault="006834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62" w:rsidRDefault="006834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62" w:rsidRDefault="00683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9AE" w:rsidRDefault="009779AE" w:rsidP="000707DC">
      <w:pPr>
        <w:spacing w:after="0"/>
      </w:pPr>
      <w:r>
        <w:separator/>
      </w:r>
    </w:p>
  </w:footnote>
  <w:footnote w:type="continuationSeparator" w:id="0">
    <w:p w:rsidR="009779AE" w:rsidRDefault="009779AE" w:rsidP="000707DC">
      <w:pPr>
        <w:spacing w:after="0"/>
      </w:pPr>
      <w:r>
        <w:continuationSeparator/>
      </w:r>
    </w:p>
  </w:footnote>
  <w:footnote w:id="1">
    <w:p w:rsidR="00145954" w:rsidRPr="00145954" w:rsidRDefault="00145954" w:rsidP="00D70D97">
      <w:pPr>
        <w:pStyle w:val="ListParagraph"/>
        <w:spacing w:after="80"/>
        <w:ind w:left="142" w:hanging="142"/>
        <w:contextualSpacing w:val="0"/>
        <w:rPr>
          <w:rFonts w:ascii="Arial" w:hAnsi="Arial" w:cs="Arial"/>
          <w:sz w:val="18"/>
          <w:szCs w:val="18"/>
          <w:lang w:val="en-GB"/>
        </w:rPr>
      </w:pPr>
      <w:r w:rsidRPr="00145954">
        <w:rPr>
          <w:rStyle w:val="FootnoteReference"/>
          <w:rFonts w:ascii="Arial" w:hAnsi="Arial" w:cs="Arial"/>
          <w:sz w:val="18"/>
          <w:szCs w:val="18"/>
        </w:rPr>
        <w:footnoteRef/>
      </w:r>
      <w:r w:rsidRPr="00145954">
        <w:rPr>
          <w:rFonts w:ascii="Arial" w:hAnsi="Arial" w:cs="Arial"/>
          <w:sz w:val="18"/>
          <w:szCs w:val="18"/>
        </w:rPr>
        <w:t xml:space="preserve"> The supplier is not expected to have a signed contract with every customer</w:t>
      </w:r>
    </w:p>
  </w:footnote>
  <w:footnote w:id="2">
    <w:p w:rsidR="00145954" w:rsidRPr="00145954" w:rsidRDefault="00145954" w:rsidP="00D70D97">
      <w:pPr>
        <w:pStyle w:val="FootnoteText"/>
        <w:spacing w:after="80"/>
        <w:ind w:left="142" w:hanging="142"/>
        <w:rPr>
          <w:rFonts w:ascii="Arial" w:hAnsi="Arial" w:cs="Arial"/>
          <w:sz w:val="18"/>
          <w:szCs w:val="18"/>
          <w:lang w:val="en-GB"/>
        </w:rPr>
      </w:pPr>
      <w:r w:rsidRPr="00145954">
        <w:rPr>
          <w:rStyle w:val="FootnoteReference"/>
          <w:rFonts w:ascii="Arial" w:hAnsi="Arial" w:cs="Arial"/>
          <w:sz w:val="18"/>
          <w:szCs w:val="18"/>
        </w:rPr>
        <w:footnoteRef/>
      </w:r>
      <w:r w:rsidRPr="00145954">
        <w:rPr>
          <w:rFonts w:ascii="Arial" w:hAnsi="Arial" w:cs="Arial"/>
          <w:sz w:val="18"/>
          <w:szCs w:val="18"/>
        </w:rPr>
        <w:t xml:space="preserve"> For domestic new connections, or customers with PAYG and quantum meters wishing to switch supplier, an objection may not be raised as ‘bound by the provision of a gas supply contract’ if the name of the customer does not match the information held by the Existing Registered User.</w:t>
      </w:r>
    </w:p>
  </w:footnote>
  <w:footnote w:id="3">
    <w:p w:rsidR="00145954" w:rsidRPr="00145954" w:rsidRDefault="00145954" w:rsidP="00D70D97">
      <w:pPr>
        <w:pStyle w:val="FootnoteText"/>
        <w:spacing w:after="80"/>
        <w:ind w:left="142" w:hanging="142"/>
        <w:rPr>
          <w:rFonts w:ascii="Arial" w:hAnsi="Arial" w:cs="Arial"/>
          <w:sz w:val="18"/>
          <w:szCs w:val="18"/>
          <w:lang w:val="en-GB"/>
        </w:rPr>
      </w:pPr>
      <w:r w:rsidRPr="00145954">
        <w:rPr>
          <w:rStyle w:val="FootnoteReference"/>
          <w:rFonts w:ascii="Arial" w:hAnsi="Arial" w:cs="Arial"/>
          <w:sz w:val="18"/>
          <w:szCs w:val="18"/>
        </w:rPr>
        <w:footnoteRef/>
      </w:r>
      <w:r w:rsidRPr="00145954">
        <w:rPr>
          <w:rFonts w:ascii="Arial" w:hAnsi="Arial" w:cs="Arial"/>
          <w:sz w:val="18"/>
          <w:szCs w:val="18"/>
        </w:rPr>
        <w:t xml:space="preserve"> </w:t>
      </w:r>
      <w:r w:rsidRPr="00145954">
        <w:rPr>
          <w:rFonts w:ascii="Arial" w:hAnsi="Arial" w:cs="Arial"/>
          <w:sz w:val="18"/>
          <w:szCs w:val="18"/>
          <w:lang w:val="en-GB"/>
        </w:rPr>
        <w:t xml:space="preserve">A SoLR event occurs where the Utility Regulator revokes a gas supplier’s licence and gives a direction to another supplier to become the SOLR Supplier pursuant to the </w:t>
      </w:r>
      <w:hyperlink r:id="rId1" w:history="1">
        <w:r w:rsidRPr="00145954">
          <w:rPr>
            <w:rStyle w:val="Hyperlink"/>
            <w:rFonts w:ascii="Arial" w:hAnsi="Arial" w:cs="Arial"/>
            <w:sz w:val="18"/>
            <w:szCs w:val="18"/>
          </w:rPr>
          <w:t>Gas (Supplier of Last Resort) Regulations (Northern Ireland) 2009</w:t>
        </w:r>
      </w:hyperlink>
      <w:r w:rsidRPr="00145954">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62" w:rsidRDefault="006834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7DC" w:rsidRPr="00494F6E" w:rsidRDefault="000707DC" w:rsidP="000707DC">
    <w:pPr>
      <w:rPr>
        <w:rFonts w:ascii="Calibri" w:hAnsi="Calibri" w:cs="Calibri"/>
        <w:b/>
        <w:color w:val="A6A6A6" w:themeColor="background1" w:themeShade="A6"/>
        <w:szCs w:val="20"/>
      </w:rPr>
    </w:pPr>
    <w:r w:rsidRPr="00C64350">
      <w:rPr>
        <w:rFonts w:ascii="Calibri" w:hAnsi="Calibri" w:cs="Calibri"/>
        <w:b/>
        <w:color w:val="A6A6A6"/>
      </w:rPr>
      <w:t>Supply Meter Point Agreement for The Greater Belfast Licensed Area and The Ten Towns Licensed Area</w:t>
    </w:r>
    <w:r w:rsidR="00494F6E">
      <w:rPr>
        <w:rFonts w:ascii="Calibri" w:hAnsi="Calibri" w:cs="Calibri"/>
        <w:b/>
        <w:color w:val="A6A6A6"/>
      </w:rPr>
      <w:t xml:space="preserve"> </w:t>
    </w:r>
    <w:r w:rsidR="00494F6E">
      <w:rPr>
        <w:rFonts w:ascii="Calibri" w:hAnsi="Calibri" w:cs="Calibri"/>
        <w:b/>
        <w:color w:val="A6A6A6" w:themeColor="background1" w:themeShade="A6"/>
        <w:szCs w:val="20"/>
      </w:rPr>
      <w:t xml:space="preserve">and </w:t>
    </w:r>
    <w:r w:rsidR="00683462">
      <w:rPr>
        <w:rFonts w:ascii="Calibri" w:hAnsi="Calibri" w:cs="Calibri"/>
        <w:b/>
        <w:color w:val="A6A6A6" w:themeColor="background1" w:themeShade="A6"/>
        <w:szCs w:val="20"/>
      </w:rPr>
      <w:t>T</w:t>
    </w:r>
    <w:r w:rsidR="00494F6E">
      <w:rPr>
        <w:rFonts w:ascii="Calibri" w:hAnsi="Calibri" w:cs="Calibri"/>
        <w:b/>
        <w:color w:val="A6A6A6" w:themeColor="background1" w:themeShade="A6"/>
        <w:szCs w:val="20"/>
      </w:rPr>
      <w:t>he West Licensed Area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62" w:rsidRDefault="006834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14AC"/>
    <w:multiLevelType w:val="hybridMultilevel"/>
    <w:tmpl w:val="2F0E839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A27D29"/>
    <w:multiLevelType w:val="hybridMultilevel"/>
    <w:tmpl w:val="BD3E6E58"/>
    <w:lvl w:ilvl="0" w:tplc="78665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060BC0"/>
    <w:multiLevelType w:val="hybridMultilevel"/>
    <w:tmpl w:val="B8C263CE"/>
    <w:lvl w:ilvl="0" w:tplc="1226892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394AD1"/>
    <w:rsid w:val="0006302D"/>
    <w:rsid w:val="000707DC"/>
    <w:rsid w:val="00092FA6"/>
    <w:rsid w:val="000B1E0A"/>
    <w:rsid w:val="000E6294"/>
    <w:rsid w:val="00102A85"/>
    <w:rsid w:val="00122FAB"/>
    <w:rsid w:val="00145954"/>
    <w:rsid w:val="001E6001"/>
    <w:rsid w:val="002B4DAE"/>
    <w:rsid w:val="002D39BC"/>
    <w:rsid w:val="0032319A"/>
    <w:rsid w:val="00384D4B"/>
    <w:rsid w:val="0038584F"/>
    <w:rsid w:val="00394AD1"/>
    <w:rsid w:val="003E29AB"/>
    <w:rsid w:val="00476B50"/>
    <w:rsid w:val="00494F6E"/>
    <w:rsid w:val="004A47BD"/>
    <w:rsid w:val="004E6B32"/>
    <w:rsid w:val="00507873"/>
    <w:rsid w:val="0053688E"/>
    <w:rsid w:val="0055247F"/>
    <w:rsid w:val="005D5897"/>
    <w:rsid w:val="00660786"/>
    <w:rsid w:val="00683462"/>
    <w:rsid w:val="00692450"/>
    <w:rsid w:val="006A3AD2"/>
    <w:rsid w:val="008B2CE9"/>
    <w:rsid w:val="008F0D7F"/>
    <w:rsid w:val="00917638"/>
    <w:rsid w:val="009779AE"/>
    <w:rsid w:val="0098022D"/>
    <w:rsid w:val="00980470"/>
    <w:rsid w:val="009F2362"/>
    <w:rsid w:val="00B54E9C"/>
    <w:rsid w:val="00C227D6"/>
    <w:rsid w:val="00CF06CE"/>
    <w:rsid w:val="00D46ED3"/>
    <w:rsid w:val="00D70D97"/>
    <w:rsid w:val="00D71835"/>
    <w:rsid w:val="00D75803"/>
    <w:rsid w:val="00DB2AFA"/>
    <w:rsid w:val="00DE2609"/>
    <w:rsid w:val="00E33B17"/>
    <w:rsid w:val="00EA7C33"/>
    <w:rsid w:val="00FC70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33"/>
    <w:pPr>
      <w:spacing w:after="200"/>
    </w:pPr>
    <w:rPr>
      <w:rFonts w:ascii="Georgia" w:hAnsi="Georgia"/>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AD1"/>
    <w:pPr>
      <w:ind w:left="720"/>
      <w:contextualSpacing/>
    </w:pPr>
  </w:style>
  <w:style w:type="paragraph" w:styleId="BalloonText">
    <w:name w:val="Balloon Text"/>
    <w:basedOn w:val="Normal"/>
    <w:link w:val="BalloonTextChar"/>
    <w:uiPriority w:val="99"/>
    <w:semiHidden/>
    <w:unhideWhenUsed/>
    <w:rsid w:val="002D39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9BC"/>
    <w:rPr>
      <w:rFonts w:ascii="Tahoma" w:hAnsi="Tahoma" w:cs="Tahoma"/>
      <w:sz w:val="16"/>
      <w:szCs w:val="16"/>
      <w:lang w:eastAsia="en-US"/>
    </w:rPr>
  </w:style>
  <w:style w:type="paragraph" w:styleId="Header">
    <w:name w:val="header"/>
    <w:basedOn w:val="Normal"/>
    <w:link w:val="HeaderChar"/>
    <w:uiPriority w:val="99"/>
    <w:unhideWhenUsed/>
    <w:rsid w:val="000707DC"/>
    <w:pPr>
      <w:tabs>
        <w:tab w:val="center" w:pos="4513"/>
        <w:tab w:val="right" w:pos="9026"/>
      </w:tabs>
    </w:pPr>
  </w:style>
  <w:style w:type="character" w:customStyle="1" w:styleId="HeaderChar">
    <w:name w:val="Header Char"/>
    <w:basedOn w:val="DefaultParagraphFont"/>
    <w:link w:val="Header"/>
    <w:uiPriority w:val="99"/>
    <w:rsid w:val="000707DC"/>
    <w:rPr>
      <w:rFonts w:ascii="Georgia" w:hAnsi="Georgia"/>
      <w:szCs w:val="22"/>
      <w:lang w:val="en-IE" w:eastAsia="en-US"/>
    </w:rPr>
  </w:style>
  <w:style w:type="paragraph" w:styleId="Footer">
    <w:name w:val="footer"/>
    <w:basedOn w:val="Normal"/>
    <w:link w:val="FooterChar"/>
    <w:uiPriority w:val="99"/>
    <w:semiHidden/>
    <w:unhideWhenUsed/>
    <w:rsid w:val="000707DC"/>
    <w:pPr>
      <w:tabs>
        <w:tab w:val="center" w:pos="4513"/>
        <w:tab w:val="right" w:pos="9026"/>
      </w:tabs>
    </w:pPr>
  </w:style>
  <w:style w:type="character" w:customStyle="1" w:styleId="FooterChar">
    <w:name w:val="Footer Char"/>
    <w:basedOn w:val="DefaultParagraphFont"/>
    <w:link w:val="Footer"/>
    <w:uiPriority w:val="99"/>
    <w:semiHidden/>
    <w:rsid w:val="000707DC"/>
    <w:rPr>
      <w:rFonts w:ascii="Georgia" w:hAnsi="Georgia"/>
      <w:szCs w:val="22"/>
      <w:lang w:val="en-IE" w:eastAsia="en-US"/>
    </w:rPr>
  </w:style>
  <w:style w:type="paragraph" w:styleId="FootnoteText">
    <w:name w:val="footnote text"/>
    <w:basedOn w:val="Normal"/>
    <w:link w:val="FootnoteTextChar"/>
    <w:rsid w:val="00145954"/>
    <w:pPr>
      <w:spacing w:after="0"/>
    </w:pPr>
    <w:rPr>
      <w:rFonts w:ascii="Times New Roman" w:eastAsia="Times New Roman" w:hAnsi="Times New Roman"/>
      <w:szCs w:val="20"/>
      <w:lang w:val="en-US"/>
    </w:rPr>
  </w:style>
  <w:style w:type="character" w:customStyle="1" w:styleId="FootnoteTextChar">
    <w:name w:val="Footnote Text Char"/>
    <w:basedOn w:val="DefaultParagraphFont"/>
    <w:link w:val="FootnoteText"/>
    <w:rsid w:val="00145954"/>
    <w:rPr>
      <w:rFonts w:ascii="Times New Roman" w:eastAsia="Times New Roman" w:hAnsi="Times New Roman"/>
      <w:lang w:val="en-US" w:eastAsia="en-US"/>
    </w:rPr>
  </w:style>
  <w:style w:type="character" w:styleId="FootnoteReference">
    <w:name w:val="footnote reference"/>
    <w:basedOn w:val="DefaultParagraphFont"/>
    <w:semiHidden/>
    <w:rsid w:val="00145954"/>
    <w:rPr>
      <w:vertAlign w:val="superscript"/>
    </w:rPr>
  </w:style>
  <w:style w:type="character" w:styleId="Hyperlink">
    <w:name w:val="Hyperlink"/>
    <w:basedOn w:val="DefaultParagraphFont"/>
    <w:uiPriority w:val="99"/>
    <w:unhideWhenUsed/>
    <w:rsid w:val="00145954"/>
    <w:rPr>
      <w:color w:val="0000FF"/>
      <w:u w:val="single"/>
    </w:rPr>
  </w:style>
  <w:style w:type="character" w:styleId="CommentReference">
    <w:name w:val="annotation reference"/>
    <w:basedOn w:val="DefaultParagraphFont"/>
    <w:uiPriority w:val="99"/>
    <w:semiHidden/>
    <w:unhideWhenUsed/>
    <w:rsid w:val="00102A85"/>
    <w:rPr>
      <w:sz w:val="16"/>
      <w:szCs w:val="16"/>
    </w:rPr>
  </w:style>
  <w:style w:type="paragraph" w:styleId="CommentText">
    <w:name w:val="annotation text"/>
    <w:basedOn w:val="Normal"/>
    <w:link w:val="CommentTextChar"/>
    <w:uiPriority w:val="99"/>
    <w:semiHidden/>
    <w:unhideWhenUsed/>
    <w:rsid w:val="00102A85"/>
    <w:rPr>
      <w:szCs w:val="20"/>
    </w:rPr>
  </w:style>
  <w:style w:type="character" w:customStyle="1" w:styleId="CommentTextChar">
    <w:name w:val="Comment Text Char"/>
    <w:basedOn w:val="DefaultParagraphFont"/>
    <w:link w:val="CommentText"/>
    <w:uiPriority w:val="99"/>
    <w:semiHidden/>
    <w:rsid w:val="00102A85"/>
    <w:rPr>
      <w:rFonts w:ascii="Georgia" w:hAnsi="Georgia"/>
      <w:lang w:val="en-IE" w:eastAsia="en-US"/>
    </w:rPr>
  </w:style>
  <w:style w:type="paragraph" w:styleId="CommentSubject">
    <w:name w:val="annotation subject"/>
    <w:basedOn w:val="CommentText"/>
    <w:next w:val="CommentText"/>
    <w:link w:val="CommentSubjectChar"/>
    <w:uiPriority w:val="99"/>
    <w:semiHidden/>
    <w:unhideWhenUsed/>
    <w:rsid w:val="00102A85"/>
    <w:rPr>
      <w:b/>
      <w:bCs/>
    </w:rPr>
  </w:style>
  <w:style w:type="character" w:customStyle="1" w:styleId="CommentSubjectChar">
    <w:name w:val="Comment Subject Char"/>
    <w:basedOn w:val="CommentTextChar"/>
    <w:link w:val="CommentSubject"/>
    <w:uiPriority w:val="99"/>
    <w:semiHidden/>
    <w:rsid w:val="00102A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nisr/2009/412/made/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7417C-783D-48C1-9737-E930E883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Bord Gais</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Karen (UREGNI)</dc:creator>
  <cp:lastModifiedBy>Barbara Stevenson</cp:lastModifiedBy>
  <cp:revision>2</cp:revision>
  <cp:lastPrinted>2012-07-23T13:01:00Z</cp:lastPrinted>
  <dcterms:created xsi:type="dcterms:W3CDTF">2016-10-26T19:59:00Z</dcterms:created>
  <dcterms:modified xsi:type="dcterms:W3CDTF">2016-10-26T19:59:00Z</dcterms:modified>
</cp:coreProperties>
</file>